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76" w:lineRule="auto"/>
        <w:rPr>
          <w:rFonts w:ascii="Tinos" w:hAnsi="Tinos" w:eastAsia="Tinos" w:cs="Tinos"/>
          <w:b w:val="0"/>
          <w:bCs w:val="0"/>
          <w:sz w:val="28"/>
          <w:szCs w:val="28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ПРОЕКТ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  <w:t xml:space="preserve">Доклад о правоприменительной практике по итогам осуществления регионального государственного контроля (надзора) в сфере туристской индустрии на территории Республики Татарстан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з</w:t>
      </w:r>
      <w:r>
        <w:rPr>
          <w:rFonts w:ascii="Tinos" w:hAnsi="Tinos" w:eastAsia="Tinos" w:cs="Tinos"/>
          <w:b/>
          <w:sz w:val="28"/>
          <w:szCs w:val="28"/>
        </w:rPr>
        <w:t xml:space="preserve">а 2025 год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Доклад о правоприменительной практике контрольно-надзорной деятельности Государственного комитета Республики Татарстан по туризму</w:t>
      </w:r>
      <w:r>
        <w:rPr>
          <w:rFonts w:ascii="PT Astra Serif" w:hAnsi="PT Astra Serif"/>
          <w:sz w:val="28"/>
          <w:szCs w:val="28"/>
        </w:rPr>
        <w:t xml:space="preserve"> (далее – Госкомитет) подготовлен во исполнение статьи 47 Федерального закона от 31.07.2020 № 248-ФЗ </w:t>
      </w:r>
      <w:r>
        <w:rPr>
          <w:rFonts w:ascii="PT Astra Serif" w:hAnsi="PT Astra Serif"/>
          <w:sz w:val="28"/>
          <w:szCs w:val="28"/>
          <w:highlight w:val="none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 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8"/>
          <w:szCs w:val="28"/>
          <w:highlight w:val="none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(далее – Федеральный закон №248-ФЗ) </w:t>
      </w:r>
      <w:r>
        <w:rPr>
          <w:rFonts w:ascii="PT Astra Serif" w:hAnsi="PT Astra Serif"/>
          <w:sz w:val="28"/>
          <w:szCs w:val="28"/>
        </w:rPr>
        <w:t xml:space="preserve">и статьи 3.4 постановления Кабинета Министров Республики Татарстан от 01.03.2025 № 122 «</w:t>
      </w:r>
      <w:r>
        <w:rPr>
          <w:rFonts w:ascii="PT Astra Serif" w:hAnsi="PT Astra Serif"/>
          <w:sz w:val="28"/>
          <w:szCs w:val="28"/>
        </w:rPr>
        <w:t xml:space="preserve">Об утверждении Положения о региональном государственном контроле (надзоре) в сфере туристской индустрии  на территории Республики Татарстан» (далее – Положение)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firstLine="567"/>
        <w:jc w:val="both"/>
        <w:spacing w:after="0" w:line="276" w:lineRule="auto"/>
        <w:tabs>
          <w:tab w:val="left" w:pos="851" w:leader="none"/>
        </w:tabs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Обобщение правоприменительной практики проводится для решения следующих задач: 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firstLine="567"/>
        <w:jc w:val="both"/>
        <w:spacing w:after="0" w:line="276" w:lineRule="auto"/>
        <w:tabs>
          <w:tab w:val="left" w:pos="851" w:leader="none"/>
        </w:tabs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1) обеспечение единообразных подходов к применению Госкомитетом и его должностными лицами обязательных требований, </w:t>
      </w:r>
      <w:r>
        <w:rPr>
          <w:rFonts w:ascii="PT Astra Serif" w:hAnsi="PT Astra Serif"/>
          <w:sz w:val="28"/>
          <w:szCs w:val="28"/>
          <w:highlight w:val="none"/>
        </w:rPr>
        <w:t xml:space="preserve">установленных Федеральным законом от 24 ноября 1996 г. № 132-ФЗ «Об основах туристской деятельности в Российской Федерации» (далее – </w:t>
      </w:r>
      <w:r>
        <w:rPr>
          <w:rFonts w:ascii="PT Astra Serif" w:hAnsi="PT Astra Serif"/>
          <w:sz w:val="28"/>
          <w:szCs w:val="28"/>
          <w:highlight w:val="none"/>
        </w:rPr>
        <w:t xml:space="preserve">Федеральный закон №132-ФЗ)</w:t>
      </w:r>
      <w:r>
        <w:rPr>
          <w:rFonts w:ascii="PT Astra Serif" w:hAnsi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76" w:lineRule="auto"/>
        <w:tabs>
          <w:tab w:val="left" w:pos="851" w:leader="none"/>
        </w:tabs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76" w:lineRule="auto"/>
        <w:tabs>
          <w:tab w:val="left" w:pos="851" w:leader="none"/>
        </w:tabs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76" w:lineRule="auto"/>
        <w:tabs>
          <w:tab w:val="left" w:pos="851" w:leader="none"/>
        </w:tabs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4) подготовка предложений об актуализации обязательных требований;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76" w:lineRule="auto"/>
        <w:tabs>
          <w:tab w:val="left" w:pos="851" w:leader="none"/>
        </w:tabs>
        <w:rPr>
          <w:rFonts w:ascii="PT Astra Serif" w:hAnsi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5) подготовка предложений о внесении изменений в законодательство Российской Федераци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и,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 регулирующее сферу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туристской индустрии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after="0" w:line="276" w:lineRule="auto"/>
        <w:tabs>
          <w:tab w:val="left" w:pos="851" w:leader="none"/>
        </w:tabs>
        <w:rPr>
          <w:rFonts w:ascii="PT Astra Serif" w:hAnsi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center"/>
        <w:spacing w:after="0" w:line="276" w:lineRule="auto"/>
        <w:tabs>
          <w:tab w:val="left" w:pos="851" w:leader="none"/>
        </w:tabs>
        <w:rPr>
          <w:rFonts w:ascii="PT Astra Serif" w:hAnsi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highlight w:val="none"/>
        </w:rPr>
        <w:t xml:space="preserve">Правоприменительная практика организации и проведения мероприятий по контролю (надзору) в установленной сфере деятельности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after="0" w:line="276" w:lineRule="auto"/>
        <w:tabs>
          <w:tab w:val="left" w:pos="851" w:leader="none"/>
        </w:tabs>
        <w:rPr>
          <w:rFonts w:ascii="PT Astra Serif" w:hAnsi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В соответствии с пунктом 1.3 </w:t>
      </w:r>
      <w:r>
        <w:rPr>
          <w:rFonts w:ascii="PT Astra Serif" w:hAnsi="PT Astra Serif"/>
          <w:sz w:val="28"/>
          <w:szCs w:val="28"/>
          <w:highlight w:val="white"/>
        </w:rPr>
        <w:t xml:space="preserve">Положения Госкомитет является республиканским </w:t>
      </w:r>
      <w:r>
        <w:rPr>
          <w:rFonts w:ascii="PT Astra Serif" w:hAnsi="PT Astra Serif"/>
          <w:sz w:val="28"/>
          <w:szCs w:val="28"/>
          <w:highlight w:val="white"/>
        </w:rPr>
        <w:t xml:space="preserve">органом исполнительной власти, </w:t>
      </w:r>
      <w:r>
        <w:rPr>
          <w:rFonts w:ascii="PT Astra Serif" w:hAnsi="PT Astra Serif"/>
          <w:sz w:val="28"/>
          <w:szCs w:val="28"/>
          <w:highlight w:val="white"/>
        </w:rPr>
        <w:t xml:space="preserve">у</w:t>
      </w:r>
      <w:r>
        <w:rPr>
          <w:rFonts w:ascii="PT Astra Serif" w:hAnsi="PT Astra Serif"/>
          <w:sz w:val="28"/>
          <w:szCs w:val="28"/>
          <w:highlight w:val="white"/>
        </w:rPr>
        <w:t xml:space="preserve">п</w:t>
      </w:r>
      <w:r>
        <w:rPr>
          <w:rFonts w:ascii="PT Astra Serif" w:hAnsi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л</w:t>
      </w:r>
      <w:r>
        <w:rPr>
          <w:rFonts w:ascii="PT Astra Serif" w:hAnsi="PT Astra Serif"/>
          <w:sz w:val="28"/>
          <w:szCs w:val="28"/>
          <w:highlight w:val="white"/>
        </w:rPr>
        <w:t xml:space="preserve">н</w:t>
      </w:r>
      <w:r>
        <w:rPr>
          <w:rFonts w:ascii="PT Astra Serif" w:hAnsi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м</w:t>
      </w:r>
      <w:r>
        <w:rPr>
          <w:rFonts w:ascii="PT Astra Serif" w:hAnsi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ч</w:t>
      </w:r>
      <w:r>
        <w:rPr>
          <w:rFonts w:ascii="PT Astra Serif" w:hAnsi="PT Astra Serif"/>
          <w:sz w:val="28"/>
          <w:szCs w:val="28"/>
          <w:highlight w:val="white"/>
        </w:rPr>
        <w:t xml:space="preserve">е</w:t>
      </w:r>
      <w:r>
        <w:rPr>
          <w:rFonts w:ascii="PT Astra Serif" w:hAnsi="PT Astra Serif"/>
          <w:sz w:val="28"/>
          <w:szCs w:val="28"/>
          <w:highlight w:val="white"/>
        </w:rPr>
        <w:t xml:space="preserve">н</w:t>
      </w:r>
      <w:r>
        <w:rPr>
          <w:rFonts w:ascii="PT Astra Serif" w:hAnsi="PT Astra Serif"/>
          <w:sz w:val="28"/>
          <w:szCs w:val="28"/>
          <w:highlight w:val="white"/>
        </w:rPr>
        <w:t xml:space="preserve">н</w:t>
      </w:r>
      <w:r>
        <w:rPr>
          <w:rFonts w:ascii="PT Astra Serif" w:hAnsi="PT Astra Serif"/>
          <w:sz w:val="28"/>
          <w:szCs w:val="28"/>
          <w:highlight w:val="white"/>
        </w:rPr>
        <w:t xml:space="preserve">ы</w:t>
      </w:r>
      <w:r>
        <w:rPr>
          <w:rFonts w:ascii="PT Astra Serif" w:hAnsi="PT Astra Serif"/>
          <w:sz w:val="28"/>
          <w:szCs w:val="28"/>
          <w:highlight w:val="white"/>
        </w:rPr>
        <w:t xml:space="preserve">м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н</w:t>
      </w:r>
      <w:r>
        <w:rPr>
          <w:rFonts w:ascii="PT Astra Serif" w:hAnsi="PT Astra Serif"/>
          <w:sz w:val="28"/>
          <w:szCs w:val="28"/>
          <w:highlight w:val="white"/>
        </w:rPr>
        <w:t xml:space="preserve">а </w:t>
      </w:r>
      <w:r>
        <w:rPr>
          <w:rFonts w:ascii="PT Astra Serif" w:hAnsi="PT Astra Serif"/>
          <w:sz w:val="28"/>
          <w:szCs w:val="28"/>
          <w:highlight w:val="white"/>
        </w:rPr>
        <w:t xml:space="preserve">осуществление регионального государственного контроля (надзора) </w:t>
      </w:r>
      <w:r>
        <w:rPr>
          <w:rFonts w:ascii="PT Astra Serif" w:hAnsi="PT Astra Serif"/>
          <w:sz w:val="28"/>
          <w:szCs w:val="28"/>
          <w:highlight w:val="white"/>
        </w:rPr>
        <w:t xml:space="preserve">в сфере туристской индустрии на территории Республики Татарстан</w:t>
      </w:r>
      <w:r>
        <w:rPr>
          <w:rFonts w:ascii="PT Astra Serif" w:hAnsi="PT Astra Serif"/>
          <w:sz w:val="28"/>
          <w:szCs w:val="28"/>
          <w:highlight w:val="white"/>
        </w:rPr>
        <w:t xml:space="preserve"> (далее – контроль (надзор)).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Предметом контроля (надзора) является соблюдение юридическими лицами, индивидуальными предпринимателями, физическими лицами следующих обязательных требований, установленных </w:t>
      </w:r>
      <w:r>
        <w:rPr>
          <w:rFonts w:ascii="PT Astra Serif" w:hAnsi="PT Astra Serif"/>
          <w:sz w:val="28"/>
          <w:szCs w:val="28"/>
          <w:highlight w:val="white"/>
        </w:rPr>
        <w:t xml:space="preserve">Федеральным законом №132-ФЗ</w:t>
      </w:r>
      <w:r>
        <w:rPr>
          <w:rFonts w:ascii="PT Astra Serif" w:hAnsi="PT Astra Serif"/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а</w:t>
      </w:r>
      <w:r>
        <w:rPr>
          <w:rFonts w:ascii="PT Astra Serif" w:hAnsi="PT Astra Serif"/>
          <w:sz w:val="28"/>
          <w:szCs w:val="28"/>
          <w:highlight w:val="white"/>
        </w:rPr>
        <w:t xml:space="preserve">) в отношении деятельности, связанной с использованием средств размещения, в отношении которых распространяется действие статьи 51 Федерального закона </w:t>
      </w:r>
      <w:r>
        <w:rPr>
          <w:rFonts w:ascii="PT Astra Serif" w:hAnsi="PT Astra Serif"/>
          <w:sz w:val="28"/>
          <w:szCs w:val="28"/>
          <w:highlight w:val="white"/>
        </w:rPr>
        <w:t xml:space="preserve">№132-ФЗ</w:t>
      </w:r>
      <w:r>
        <w:rPr>
          <w:rFonts w:ascii="PT Astra Serif" w:hAnsi="PT Astra Serif"/>
          <w:sz w:val="28"/>
          <w:szCs w:val="28"/>
          <w:highlight w:val="white"/>
        </w:rPr>
        <w:t xml:space="preserve">, за исключением санаторно-курортных организаций, подведомственных федеральным о</w:t>
      </w:r>
      <w:r>
        <w:rPr>
          <w:rFonts w:ascii="PT Astra Serif" w:hAnsi="PT Astra Serif"/>
          <w:sz w:val="28"/>
          <w:szCs w:val="28"/>
          <w:highlight w:val="white"/>
        </w:rPr>
        <w:t xml:space="preserve">рганам исполнительной власти, к предмету регионального государственного контроля (надзора) относится соблюдение следующих обязательных требований: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наличие сведений о средстве размещения в реестре классифицированных средств размещения;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в соответствии с частью первой статьи 51 Федерального закона </w:t>
      </w:r>
      <w:r>
        <w:rPr>
          <w:rFonts w:ascii="PT Astra Serif" w:hAnsi="PT Astra Serif"/>
          <w:sz w:val="28"/>
          <w:szCs w:val="28"/>
          <w:highlight w:val="white"/>
        </w:rPr>
        <w:t xml:space="preserve">№132-ФЗ</w:t>
      </w:r>
      <w:r>
        <w:rPr>
          <w:rFonts w:ascii="PT Astra Serif" w:hAnsi="PT Astra Serif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соответствие средства размещения типу и (или) типу и категории, указанным в реестре классифицированных средств размещения;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с</w:t>
      </w:r>
      <w:r>
        <w:rPr>
          <w:rFonts w:ascii="PT Astra Serif" w:hAnsi="PT Astra Serif"/>
          <w:sz w:val="28"/>
          <w:szCs w:val="28"/>
          <w:highlight w:val="white"/>
        </w:rPr>
        <w:t xml:space="preserve">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</w:t>
      </w:r>
      <w:r>
        <w:rPr>
          <w:rFonts w:ascii="PT Astra Serif" w:hAnsi="PT Astra Serif"/>
          <w:sz w:val="28"/>
          <w:szCs w:val="28"/>
          <w:highlight w:val="white"/>
        </w:rPr>
        <w:t xml:space="preserve">мещения;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н</w:t>
      </w:r>
      <w:r>
        <w:rPr>
          <w:rFonts w:ascii="PT Astra Serif" w:hAnsi="PT Astra Serif"/>
          <w:sz w:val="28"/>
          <w:szCs w:val="28"/>
          <w:highlight w:val="white"/>
        </w:rPr>
        <w:t xml:space="preserve">аличие ссылки в информационно-телекоммуникационной сети «Интернет»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</w:t>
      </w:r>
      <w:r>
        <w:rPr>
          <w:rFonts w:ascii="PT Astra Serif" w:hAnsi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ставлении услуг средства размещения, гостиничных услуг на сайте владельца агрегатора информации об услугах или владельца сервиса размещения объявлений в сети «Интернет», аналогичным сведениям о средстве размещения, указанным в реестре классифицированных ср</w:t>
      </w:r>
      <w:r>
        <w:rPr>
          <w:rFonts w:ascii="PT Astra Serif" w:hAnsi="PT Astra Serif"/>
          <w:sz w:val="28"/>
          <w:szCs w:val="28"/>
          <w:highlight w:val="white"/>
        </w:rPr>
        <w:t xml:space="preserve">едств размещения;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б</w:t>
      </w:r>
      <w:r>
        <w:rPr>
          <w:rFonts w:ascii="PT Astra Serif" w:hAnsi="PT Astra Serif"/>
          <w:sz w:val="28"/>
          <w:szCs w:val="28"/>
          <w:highlight w:val="white"/>
        </w:rPr>
        <w:t xml:space="preserve">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</w:t>
      </w:r>
      <w:r>
        <w:rPr>
          <w:rFonts w:ascii="PT Astra Serif" w:hAnsi="PT Astra Serif"/>
          <w:sz w:val="28"/>
          <w:szCs w:val="28"/>
          <w:highlight w:val="white"/>
        </w:rPr>
        <w:t xml:space="preserve">л</w:t>
      </w:r>
      <w:r>
        <w:rPr>
          <w:rFonts w:ascii="PT Astra Serif" w:hAnsi="PT Astra Serif"/>
          <w:sz w:val="28"/>
          <w:szCs w:val="28"/>
          <w:highlight w:val="white"/>
        </w:rPr>
        <w:t xml:space="preserve">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</w:t>
      </w:r>
      <w:r>
        <w:rPr>
          <w:rFonts w:ascii="PT Astra Serif" w:hAnsi="PT Astra Serif"/>
          <w:sz w:val="28"/>
          <w:szCs w:val="28"/>
          <w:highlight w:val="white"/>
        </w:rPr>
        <w:t xml:space="preserve">ицированных пляжей;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в) в отношении деятельности экскурсоводов (гидов), гидов-переводчиков к предмету регионального государственного контроля (надзора) относится соблюдение следующих обязательных требований: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наличие действующей аттестации и нагрудной идентификационной карточки экскурсовода (гида), гида-переводчика при оказании им услуг;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соблюдение правил оказания услуг экскурсоводом (гидом),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наличие действующей аттестации и нагрудной идентификационной карточки у инструктора-проводника при оказании им услуг;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потребителей).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PT Astra Serif" w:hAnsi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Объектами контроля (надзора) являются: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spacing w:after="0" w:line="276" w:lineRule="auto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1) деятельность, действия (бездействие): 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юридических лиц, индивидуальных предпринимателей, осуществляющих деятельность, связанную с использованием средств размещения; 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юридических лиц, индивидуальных предпринимателей, осуществляющих деятельность, связанную с использованием горнолыжных трасс; 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юридических лиц, индивидуальных предпринимателей, осуществляющих деятельность, связанную с использованием пляжей; 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color w:val="ff0000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  <w:t xml:space="preserve">юридических лиц, индивидуальных предпринимателей и физических лиц, применяющих специальный налоговый режим, предоставляющих услуги экскурсоводов (гидов), гидов-переводчиков; 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юридических лиц, индивидуальных предпринимателей и физических лиц, применяющих специальный налоговый режим, предоставляющих услуги инструкторов-проводников; 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владельцев агрегаторов информации об услугах, владельцев сервисов объявлений в части размещения информации о предоставлении услуг средств размещения, гостиничных услуг; 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2) 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 </w:t>
      </w:r>
      <w:r>
        <w:rPr>
          <w:rFonts w:ascii="PT Astra Serif" w:hAnsi="PT Astra Serif"/>
          <w:sz w:val="28"/>
          <w:szCs w:val="28"/>
          <w:highlight w:val="white"/>
        </w:rPr>
        <w:t xml:space="preserve">средств размещения; </w:t>
      </w:r>
      <w:r>
        <w:rPr>
          <w:rFonts w:ascii="PT Astra Serif" w:hAnsi="PT Astra Serif"/>
          <w:sz w:val="28"/>
          <w:szCs w:val="28"/>
          <w:highlight w:val="white"/>
        </w:rPr>
        <w:t xml:space="preserve">горнолыжных трасс; </w:t>
      </w:r>
      <w:r>
        <w:rPr>
          <w:rFonts w:ascii="PT Astra Serif" w:hAnsi="PT Astra Serif"/>
          <w:sz w:val="28"/>
          <w:szCs w:val="28"/>
          <w:highlight w:val="white"/>
        </w:rPr>
        <w:t xml:space="preserve">пляжей. 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В 2025 году на территории Республики Татарстан </w:t>
      </w:r>
      <w:r>
        <w:rPr>
          <w:rFonts w:ascii="PT Astra Serif" w:hAnsi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б</w:t>
      </w:r>
      <w:r>
        <w:rPr>
          <w:rFonts w:ascii="PT Astra Serif" w:hAnsi="PT Astra Serif"/>
          <w:sz w:val="28"/>
          <w:szCs w:val="28"/>
          <w:highlight w:val="white"/>
        </w:rPr>
        <w:t xml:space="preserve">щ</w:t>
      </w:r>
      <w:r>
        <w:rPr>
          <w:rFonts w:ascii="PT Astra Serif" w:hAnsi="PT Astra Serif"/>
          <w:sz w:val="28"/>
          <w:szCs w:val="28"/>
          <w:highlight w:val="white"/>
        </w:rPr>
        <w:t xml:space="preserve">е</w:t>
      </w:r>
      <w:r>
        <w:rPr>
          <w:rFonts w:ascii="PT Astra Serif" w:hAnsi="PT Astra Serif"/>
          <w:sz w:val="28"/>
          <w:szCs w:val="28"/>
          <w:highlight w:val="white"/>
        </w:rPr>
        <w:t xml:space="preserve">е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к</w:t>
      </w:r>
      <w:r>
        <w:rPr>
          <w:rFonts w:ascii="PT Astra Serif" w:hAnsi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л</w:t>
      </w:r>
      <w:r>
        <w:rPr>
          <w:rFonts w:ascii="PT Astra Serif" w:hAnsi="PT Astra Serif"/>
          <w:sz w:val="28"/>
          <w:szCs w:val="28"/>
          <w:highlight w:val="white"/>
        </w:rPr>
        <w:t xml:space="preserve">и</w:t>
      </w:r>
      <w:r>
        <w:rPr>
          <w:rFonts w:ascii="PT Astra Serif" w:hAnsi="PT Astra Serif"/>
          <w:sz w:val="28"/>
          <w:szCs w:val="28"/>
          <w:highlight w:val="white"/>
        </w:rPr>
        <w:t xml:space="preserve">ч</w:t>
      </w:r>
      <w:r>
        <w:rPr>
          <w:rFonts w:ascii="PT Astra Serif" w:hAnsi="PT Astra Serif"/>
          <w:sz w:val="28"/>
          <w:szCs w:val="28"/>
          <w:highlight w:val="white"/>
        </w:rPr>
        <w:t xml:space="preserve">е</w:t>
      </w:r>
      <w:r>
        <w:rPr>
          <w:rFonts w:ascii="PT Astra Serif" w:hAnsi="PT Astra Serif"/>
          <w:sz w:val="28"/>
          <w:szCs w:val="28"/>
          <w:highlight w:val="white"/>
        </w:rPr>
        <w:t xml:space="preserve">с</w:t>
      </w:r>
      <w:r>
        <w:rPr>
          <w:rFonts w:ascii="PT Astra Serif" w:hAnsi="PT Astra Serif"/>
          <w:sz w:val="28"/>
          <w:szCs w:val="28"/>
          <w:highlight w:val="white"/>
        </w:rPr>
        <w:t xml:space="preserve">т</w:t>
      </w:r>
      <w:r>
        <w:rPr>
          <w:rFonts w:ascii="PT Astra Serif" w:hAnsi="PT Astra Serif"/>
          <w:sz w:val="28"/>
          <w:szCs w:val="28"/>
          <w:highlight w:val="white"/>
        </w:rPr>
        <w:t xml:space="preserve">в</w:t>
      </w:r>
      <w:r>
        <w:rPr>
          <w:rFonts w:ascii="PT Astra Serif" w:hAnsi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средств размещения (гостиницы, базы отдыха, санатории, </w:t>
      </w:r>
      <w:r>
        <w:rPr>
          <w:rFonts w:ascii="PT Astra Serif" w:hAnsi="PT Astra Serif"/>
          <w:sz w:val="28"/>
          <w:szCs w:val="28"/>
          <w:highlight w:val="white"/>
        </w:rPr>
        <w:t xml:space="preserve">кемпинги</w:t>
      </w:r>
      <w:r>
        <w:rPr>
          <w:rFonts w:ascii="PT Astra Serif" w:hAnsi="PT Astra Serif"/>
          <w:sz w:val="28"/>
          <w:szCs w:val="28"/>
          <w:highlight w:val="white"/>
        </w:rPr>
        <w:t xml:space="preserve">) согласно данным Единого реестра объектов классификации в сфере туристской индустрии </w:t>
      </w:r>
      <w:r>
        <w:rPr>
          <w:rFonts w:ascii="PT Astra Serif" w:hAnsi="PT Astra Serif"/>
          <w:sz w:val="28"/>
          <w:szCs w:val="28"/>
          <w:highlight w:val="white"/>
        </w:rPr>
        <w:t xml:space="preserve">(далее – Реестр) </w:t>
      </w:r>
      <w:r>
        <w:rPr>
          <w:rFonts w:ascii="PT Astra Serif" w:hAnsi="PT Astra Serif"/>
          <w:sz w:val="28"/>
          <w:szCs w:val="28"/>
          <w:highlight w:val="white"/>
        </w:rPr>
        <w:t xml:space="preserve">составляло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b/>
          <w:bCs/>
          <w:color w:val="auto"/>
          <w:sz w:val="28"/>
          <w:szCs w:val="28"/>
          <w:highlight w:val="white"/>
        </w:rPr>
        <w:t xml:space="preserve">648</w:t>
      </w:r>
      <w:r>
        <w:rPr>
          <w:rFonts w:ascii="PT Astra Serif" w:hAnsi="PT Astra Serif"/>
          <w:b/>
          <w:bCs/>
          <w:color w:val="auto"/>
          <w:sz w:val="28"/>
          <w:szCs w:val="28"/>
          <w:highlight w:val="white"/>
        </w:rPr>
        <w:t xml:space="preserve"> о</w:t>
      </w:r>
      <w:r>
        <w:rPr>
          <w:rFonts w:ascii="PT Astra Serif" w:hAnsi="PT Astra Serif"/>
          <w:b/>
          <w:bCs/>
          <w:color w:val="auto"/>
          <w:sz w:val="28"/>
          <w:szCs w:val="28"/>
          <w:highlight w:val="white"/>
        </w:rPr>
        <w:t xml:space="preserve">бъект</w:t>
      </w:r>
      <w:r>
        <w:rPr>
          <w:rFonts w:ascii="PT Astra Serif" w:hAnsi="PT Astra Serif"/>
          <w:b/>
          <w:bCs/>
          <w:color w:val="auto"/>
          <w:sz w:val="28"/>
          <w:szCs w:val="28"/>
          <w:highlight w:val="white"/>
        </w:rPr>
        <w:t xml:space="preserve">о</w:t>
      </w:r>
      <w:r>
        <w:rPr>
          <w:rFonts w:ascii="PT Astra Serif" w:hAnsi="PT Astra Serif"/>
          <w:b/>
          <w:color w:val="auto"/>
          <w:sz w:val="28"/>
          <w:szCs w:val="28"/>
          <w:highlight w:val="white"/>
        </w:rPr>
        <w:t xml:space="preserve">в</w:t>
      </w:r>
      <w:r>
        <w:rPr>
          <w:rFonts w:ascii="PT Astra Serif" w:hAnsi="PT Astra Serif"/>
          <w:color w:val="auto"/>
          <w:sz w:val="28"/>
          <w:szCs w:val="28"/>
          <w:highlight w:val="white"/>
        </w:rPr>
        <w:t xml:space="preserve">.</w:t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PT Astra Serif" w:hAnsi="PT Astra Serif"/>
          <w:b w:val="0"/>
          <w:bCs w:val="0"/>
          <w:color w:val="ff0000"/>
          <w:sz w:val="28"/>
          <w:szCs w:val="28"/>
          <w:highlight w:val="white"/>
        </w:rPr>
      </w:pPr>
      <w:r>
        <w:rPr>
          <w:rFonts w:ascii="PT Astra Serif" w:hAnsi="PT Astra Serif"/>
          <w:color w:val="ff0000"/>
          <w:sz w:val="28"/>
          <w:szCs w:val="28"/>
          <w:highlight w:val="white"/>
        </w:rPr>
      </w:r>
      <w:r>
        <w:rPr>
          <w:rFonts w:ascii="PT Astra Serif" w:hAnsi="PT Astra Serif" w:eastAsia="Times New Roman"/>
          <w:b/>
          <w:bCs/>
          <w:sz w:val="28"/>
          <w:szCs w:val="28"/>
          <w:highlight w:val="white"/>
          <w:lang w:eastAsia="ru-RU"/>
        </w:rPr>
        <w:t xml:space="preserve">585</w:t>
      </w:r>
      <w:r>
        <w:rPr>
          <w:rFonts w:ascii="PT Astra Serif" w:hAnsi="PT Astra Serif" w:eastAsia="Times New Roman"/>
          <w:b/>
          <w:sz w:val="28"/>
          <w:szCs w:val="28"/>
          <w:highlight w:val="white"/>
          <w:lang w:eastAsia="ru-RU"/>
        </w:rPr>
        <w:t xml:space="preserve"> экскурсоводов и гидов-переводчиков</w:t>
      </w:r>
      <w:r>
        <w:rPr>
          <w:rFonts w:ascii="PT Astra Serif" w:hAnsi="PT Astra Serif" w:eastAsia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Times New Roman"/>
          <w:b w:val="0"/>
          <w:bCs w:val="0"/>
          <w:sz w:val="28"/>
          <w:szCs w:val="28"/>
          <w:highlight w:val="white"/>
          <w:lang w:eastAsia="ru-RU"/>
        </w:rPr>
        <w:t xml:space="preserve">прошли аттестацию и вошли в Реестр. </w:t>
      </w:r>
      <w:r>
        <w:rPr>
          <w:b w:val="0"/>
          <w:bCs w:val="0"/>
          <w:sz w:val="28"/>
          <w:szCs w:val="28"/>
          <w:highlight w:val="white"/>
        </w:rPr>
      </w:r>
      <w:r>
        <w:rPr>
          <w:rFonts w:ascii="PT Astra Serif" w:hAnsi="PT Astra Serif"/>
          <w:b w:val="0"/>
          <w:bCs w:val="0"/>
          <w:color w:val="ff0000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 w:eastAsia="Times New Roman"/>
          <w:sz w:val="28"/>
          <w:szCs w:val="28"/>
          <w:highlight w:val="white"/>
          <w:lang w:eastAsia="ru-RU"/>
        </w:rPr>
        <w:t xml:space="preserve">Горнолыжные трассы и пляжи включаются в </w:t>
      </w:r>
      <w:r>
        <w:rPr>
          <w:rFonts w:ascii="PT Astra Serif" w:hAnsi="PT Astra Serif"/>
          <w:sz w:val="28"/>
          <w:szCs w:val="28"/>
          <w:highlight w:val="white"/>
        </w:rPr>
        <w:t xml:space="preserve">Реестр добровольно по результатам классификации. В 2025 году в республике насчитывалось 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7 классифицированных горнолыжных трасс</w:t>
      </w:r>
      <w:r>
        <w:rPr>
          <w:rFonts w:ascii="PT Astra Serif" w:hAnsi="PT Astra Serif"/>
          <w:sz w:val="28"/>
          <w:szCs w:val="28"/>
          <w:highlight w:val="white"/>
        </w:rPr>
        <w:t xml:space="preserve"> и 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1 пляж.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При осуществлении контроля (надзора) Госкомитетом применялись положения </w:t>
      </w:r>
      <w:r>
        <w:rPr>
          <w:rFonts w:ascii="PT Astra Serif" w:hAnsi="PT Astra Serif"/>
          <w:sz w:val="28"/>
          <w:szCs w:val="28"/>
          <w:highlight w:val="white"/>
        </w:rPr>
        <w:t xml:space="preserve">следующих нормативно-правовых актов: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</w:p>
    <w:p>
      <w:pPr>
        <w:pStyle w:val="866"/>
        <w:numPr>
          <w:ilvl w:val="0"/>
          <w:numId w:val="3"/>
        </w:numPr>
        <w:ind w:left="0" w:right="0"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</w:rPr>
        <w:t xml:space="preserve">Федеральный закон №248-ФЗ</w:t>
      </w:r>
      <w:r>
        <w:rPr>
          <w:rFonts w:ascii="PT Astra Serif" w:hAnsi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</w:p>
    <w:p>
      <w:pPr>
        <w:pStyle w:val="866"/>
        <w:numPr>
          <w:ilvl w:val="0"/>
          <w:numId w:val="3"/>
        </w:numPr>
        <w:ind w:left="0" w:right="0"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  <w:t xml:space="preserve">Федеральный закон №132-ФЗ</w:t>
      </w:r>
      <w:r>
        <w:rPr>
          <w:rFonts w:ascii="PT Astra Serif" w:hAnsi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</w:p>
    <w:p>
      <w:pPr>
        <w:pStyle w:val="866"/>
        <w:numPr>
          <w:ilvl w:val="0"/>
          <w:numId w:val="3"/>
        </w:numPr>
        <w:ind w:left="0" w:right="0" w:firstLine="709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Положение</w:t>
      </w:r>
      <w:r>
        <w:rPr>
          <w:rFonts w:ascii="PT Astra Serif" w:hAnsi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</w:p>
    <w:p>
      <w:pPr>
        <w:ind w:left="567" w:right="0" w:firstLine="0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Госкомитет уполномочен проводить следующие виды 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профилактических мероприятий:</w:t>
      </w:r>
      <w:r>
        <w:rPr>
          <w:sz w:val="28"/>
          <w:szCs w:val="28"/>
        </w:rPr>
      </w:r>
    </w:p>
    <w:p>
      <w:pPr>
        <w:pStyle w:val="866"/>
        <w:numPr>
          <w:ilvl w:val="0"/>
          <w:numId w:val="8"/>
        </w:numPr>
        <w:ind w:left="720" w:right="0" w:hanging="11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информирование;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numPr>
          <w:ilvl w:val="0"/>
          <w:numId w:val="8"/>
        </w:numPr>
        <w:ind w:left="720" w:right="0" w:hanging="11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обобщение правоприменительной практики;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numPr>
          <w:ilvl w:val="0"/>
          <w:numId w:val="8"/>
        </w:numPr>
        <w:ind w:left="720" w:right="0" w:hanging="11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объявление предостережения о недопустимости нарушения обязательных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numPr>
          <w:ilvl w:val="0"/>
          <w:numId w:val="8"/>
        </w:numPr>
        <w:ind w:left="720" w:right="0" w:hanging="11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консультирование;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numPr>
          <w:ilvl w:val="0"/>
          <w:numId w:val="8"/>
        </w:numPr>
        <w:ind w:left="720" w:right="0" w:hanging="11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14:ligatures w14:val="none"/>
        </w:rPr>
        <w:t xml:space="preserve">профилактический визит.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Приказом Госкомитета от 05.05.2025 № 113 утверждена 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программа профилактики рисков причинения вреда (ущерба) охраняемым законом ценностям  при осуществлении  контроля (надзора) 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на 2025 год (далее – Программа)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Основные цели Программы: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1. Стимулирование добросовестного соблюдения обязательных требований всеми контролируемыми лицами.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4. Предупреждение нарушений обязательных требований в сфере туристской индустрии на территории Республики Татарстан.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Задачи реализации Программы: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1. Выявление причин, факторов и условий, способствующих нарушению обязательных требований в сфере туристской индустрии, определение способов устранения или снижения рисков их возникновения.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2. Устранение причин, факторов и условий, способствующих нарушению обязательных требований в сфере туристской индустрии.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3. Повышение уровня правовой грамотности контролируемых лиц, в том числе путем обеспечения доступности информации об обязательных требованиях в сфере туристской индустрии и необходимых мерах по их исполнению.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4.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При осуществлении контроля (надзора) согласно пункту 4.1 Положения п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лановые контрольные (надзорные) мероприятия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  <w:t xml:space="preserve"> не проводятся.</w:t>
      </w:r>
      <w:r>
        <w:rPr>
          <w:rFonts w:ascii="PT Astra Serif" w:hAnsi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Госкомитет уполномочен проводить следующие виды внеплановых  </w:t>
      </w:r>
      <w:r>
        <w:rPr>
          <w:rFonts w:ascii="PT Astra Serif" w:hAnsi="PT Astra Serif"/>
          <w:sz w:val="28"/>
          <w:szCs w:val="28"/>
          <w:highlight w:val="none"/>
        </w:rPr>
        <w:t xml:space="preserve">контрольных (надзорных) мероприятия</w:t>
      </w:r>
      <w:r>
        <w:rPr>
          <w:rFonts w:ascii="PT Astra Serif" w:hAnsi="PT Astra Serif"/>
          <w:sz w:val="28"/>
          <w:szCs w:val="28"/>
          <w:highlight w:val="none"/>
        </w:rPr>
        <w:t xml:space="preserve">: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с взаимодействием с контролируемым лицом: 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866"/>
        <w:numPr>
          <w:ilvl w:val="0"/>
          <w:numId w:val="5"/>
        </w:num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контрольная закупка;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866"/>
        <w:numPr>
          <w:ilvl w:val="0"/>
          <w:numId w:val="5"/>
        </w:num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мониторинговая закупка;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866"/>
        <w:numPr>
          <w:ilvl w:val="0"/>
          <w:numId w:val="5"/>
        </w:num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инспекционный визит;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866"/>
        <w:numPr>
          <w:ilvl w:val="0"/>
          <w:numId w:val="5"/>
        </w:num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выездная проверка.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left="567" w:right="0" w:firstLine="0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без взаимодействия </w:t>
      </w:r>
      <w:r>
        <w:rPr>
          <w:rFonts w:ascii="PT Astra Serif" w:hAnsi="PT Astra Serif"/>
          <w:sz w:val="28"/>
          <w:szCs w:val="28"/>
          <w:highlight w:val="none"/>
        </w:rPr>
        <w:t xml:space="preserve">с контролируемым лицом</w:t>
      </w:r>
      <w:r>
        <w:rPr>
          <w:rFonts w:ascii="PT Astra Serif" w:hAnsi="PT Astra Serif"/>
          <w:sz w:val="28"/>
          <w:szCs w:val="28"/>
          <w:highlight w:val="none"/>
        </w:rPr>
        <w:t xml:space="preserve">: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866"/>
        <w:numPr>
          <w:ilvl w:val="0"/>
          <w:numId w:val="6"/>
        </w:num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наблюдение за соблюдением обязательных требований;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pStyle w:val="866"/>
        <w:numPr>
          <w:ilvl w:val="0"/>
          <w:numId w:val="6"/>
        </w:num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выездное обследование.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В 2025 году д</w:t>
      </w:r>
      <w:r>
        <w:rPr>
          <w:rFonts w:ascii="PT Astra Serif" w:hAnsi="PT Astra Serif"/>
          <w:sz w:val="28"/>
          <w:szCs w:val="28"/>
          <w:highlight w:val="none"/>
        </w:rPr>
        <w:t xml:space="preserve">олжностными лицами Госкомитета было проведено 4 контрольных </w:t>
      </w:r>
      <w:r>
        <w:rPr>
          <w:rFonts w:ascii="PT Astra Serif" w:hAnsi="PT Astra Serif"/>
          <w:sz w:val="28"/>
          <w:szCs w:val="28"/>
          <w:highlight w:val="none"/>
        </w:rPr>
        <w:t xml:space="preserve">(надзорных) мероприятия</w:t>
      </w:r>
      <w:r>
        <w:rPr>
          <w:rFonts w:ascii="PT Astra Serif" w:hAnsi="PT Astra Serif"/>
          <w:sz w:val="28"/>
          <w:szCs w:val="28"/>
          <w:highlight w:val="none"/>
        </w:rPr>
        <w:t xml:space="preserve">, в том числе 3 </w:t>
      </w:r>
      <w:r>
        <w:rPr>
          <w:rFonts w:ascii="PT Astra Serif" w:hAnsi="PT Astra Serif"/>
          <w:sz w:val="28"/>
          <w:szCs w:val="28"/>
          <w:highlight w:val="none"/>
        </w:rPr>
        <w:t xml:space="preserve">наблюдения за соблюдением обязательных требований и</w:t>
      </w:r>
      <w:r>
        <w:rPr>
          <w:rFonts w:ascii="PT Astra Serif" w:hAnsi="PT Astra Serif"/>
          <w:sz w:val="28"/>
          <w:szCs w:val="28"/>
          <w:highlight w:val="none"/>
        </w:rPr>
        <w:t xml:space="preserve"> выездное обследование. В рамках контроля (надзора) б</w:t>
      </w:r>
      <w:r>
        <w:rPr>
          <w:rFonts w:ascii="PT Astra Serif" w:hAnsi="PT Astra Serif"/>
          <w:sz w:val="28"/>
          <w:szCs w:val="28"/>
          <w:highlight w:val="none"/>
        </w:rPr>
        <w:t xml:space="preserve">ыло выдано 16 предостережений о недопустимости нарушения обязательных требований средствами размещения, а также вынесено 3 предписания </w:t>
      </w:r>
      <w:r>
        <w:rPr>
          <w:rFonts w:ascii="PT Astra Serif" w:hAnsi="PT Astra Serif"/>
          <w:sz w:val="28"/>
          <w:szCs w:val="28"/>
          <w:highlight w:val="none"/>
        </w:rPr>
        <w:t xml:space="preserve">об устранении выявленных нарушений. 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Самое частое нарушение, выявляемое п</w:t>
      </w:r>
      <w:r>
        <w:rPr>
          <w:rFonts w:ascii="PT Astra Serif" w:hAnsi="PT Astra Serif"/>
          <w:sz w:val="28"/>
          <w:szCs w:val="28"/>
          <w:highlight w:val="none"/>
        </w:rPr>
        <w:t xml:space="preserve">о результатам контрольных (надзорных) мероприятий</w:t>
      </w:r>
      <w:r>
        <w:rPr>
          <w:rFonts w:ascii="PT Astra Serif" w:hAnsi="PT Astra Serif"/>
          <w:sz w:val="28"/>
          <w:szCs w:val="28"/>
          <w:highlight w:val="none"/>
        </w:rPr>
        <w:t xml:space="preserve"> – отсутствие сведений </w:t>
      </w:r>
      <w:r>
        <w:rPr>
          <w:rFonts w:ascii="PT Astra Serif" w:hAnsi="PT Astra Serif"/>
          <w:sz w:val="28"/>
          <w:szCs w:val="28"/>
          <w:highlight w:val="none"/>
        </w:rPr>
        <w:t xml:space="preserve">о гостиницах и иных средствах размещения</w:t>
      </w:r>
      <w:r>
        <w:rPr>
          <w:rFonts w:ascii="PT Astra Serif" w:hAnsi="PT Astra Serif"/>
          <w:sz w:val="28"/>
          <w:szCs w:val="28"/>
          <w:highlight w:val="none"/>
        </w:rPr>
        <w:t xml:space="preserve"> в реестре классифицированных средств размещения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highlight w:val="none"/>
          <w:u w:val="single"/>
        </w:rPr>
        <w:t xml:space="preserve">Правовые последствия:</w:t>
      </w:r>
      <w:r>
        <w:rPr>
          <w:rFonts w:ascii="PT Astra Serif" w:hAnsi="PT Astra Serif"/>
          <w:sz w:val="28"/>
          <w:szCs w:val="28"/>
          <w:highlight w:val="none"/>
          <w:u w:val="single"/>
        </w:rPr>
      </w:r>
      <w:r>
        <w:rPr>
          <w:sz w:val="28"/>
          <w:szCs w:val="28"/>
          <w:u w:val="singl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Отсутствие сведений в реестре классифицированных средств размещения влечет административную ответственность в соответствии с частью первой статьи 14.39 </w:t>
      </w:r>
      <w:r>
        <w:rPr>
          <w:rFonts w:ascii="PT Astra Serif" w:hAnsi="PT Astra Serif"/>
          <w:sz w:val="28"/>
          <w:szCs w:val="28"/>
          <w:highlight w:val="none"/>
        </w:rPr>
        <w:t xml:space="preserve">Кодекса Российской Федерации об административных правонарушениях</w:t>
      </w:r>
      <w:r>
        <w:rPr>
          <w:rFonts w:ascii="PT Astra Serif" w:hAnsi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Госкомитетом совместно с муниципальными образованиями Республики Татарстан в 2025 году была проведена масштабная информационно-разъяснительная работа с руководителями организаций, осуществляющих деятельность в сфере гостинич</w:t>
      </w:r>
      <w:r>
        <w:rPr>
          <w:rFonts w:ascii="PT Astra Serif" w:hAnsi="PT Astra Serif"/>
          <w:sz w:val="28"/>
          <w:szCs w:val="28"/>
          <w:highlight w:val="none"/>
        </w:rPr>
        <w:t xml:space="preserve">ных услуг, по вопросам обязательной классификации.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  <w:t xml:space="preserve">Должностные лица Госкомитета на постоянной основе </w:t>
      </w:r>
      <w:r>
        <w:rPr>
          <w:rFonts w:ascii="PT Astra Serif" w:hAnsi="PT Astra Serif"/>
          <w:sz w:val="28"/>
          <w:szCs w:val="28"/>
          <w:highlight w:val="none"/>
        </w:rPr>
        <w:t xml:space="preserve">оказывают методическую поддержку представителям бизнеса для обеспечения соблюдения требований законодательства. </w:t>
      </w:r>
      <w:r>
        <w:rPr>
          <w:rFonts w:ascii="PT Astra Serif" w:hAnsi="PT Astra Serif"/>
          <w:sz w:val="28"/>
          <w:szCs w:val="28"/>
          <w:highlight w:val="none"/>
        </w:rPr>
        <w:t xml:space="preserve">На официальном сайте Госкомитета в информационно-коммуникационной сети «Интернет» размещается актуальная информация о законодательных нормах, установленных в сфере туристской индустрии. 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left="567" w:right="0" w:firstLine="0"/>
        <w:jc w:val="center"/>
        <w:spacing w:after="0" w:line="276" w:lineRule="auto"/>
        <w:rPr>
          <w:rFonts w:ascii="PT Astra Serif" w:hAnsi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/>
          <w:sz w:val="28"/>
          <w:szCs w:val="28"/>
          <w:highlight w:val="white"/>
          <w14:ligatures w14:val="none"/>
        </w:rPr>
      </w:r>
    </w:p>
    <w:p>
      <w:pPr>
        <w:ind w:left="567" w:right="0" w:firstLine="0"/>
        <w:jc w:val="center"/>
        <w:spacing w:after="0" w:line="276" w:lineRule="auto"/>
        <w:rPr>
          <w:rFonts w:ascii="PT Astra Serif" w:hAnsi="PT Astra Serif"/>
          <w:b/>
          <w:bCs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b/>
          <w:bCs/>
          <w:sz w:val="28"/>
          <w:szCs w:val="28"/>
          <w:highlight w:val="none"/>
        </w:rPr>
        <w:t xml:space="preserve">Предложения по совершенствованию законодательства на основе анализа правоприменительной практики контрольной (надзорной) деятельности</w:t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  <w:highlight w:val="white"/>
          <w14:ligatures w14:val="none"/>
        </w:rPr>
      </w:r>
    </w:p>
    <w:p>
      <w:pPr>
        <w:jc w:val="both"/>
        <w:spacing w:after="0" w:line="276" w:lineRule="auto"/>
        <w:rPr>
          <w:rFonts w:ascii="PT Astra Serif" w:hAnsi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yellow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yellow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yellow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Необходимо внести изменения в действующее Положение в части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дополнения перечня контрольных (надзорных) мероприятий постоянным рейдом в отношении регулирования деятельности экскурсоводов (гидов), гидов-переводчиков, инструкторов-проводников. 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В настоящий момент отсутствует эффективный механизм регулярного мониторинга деятельности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лиц, предоставляющих услуги экскурсоводов (гидов), гидов-переводчиков.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Действующий перечень контрольных мероприятий не предусматривает инструментов постоянного наблюдения за деятельностью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 данной группы подконтрольных субъектов. Это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 затрудняет своевременное выявление и пресечение нарушений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обязательных требований, установленных Федеральным законом №132-ФЗ,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 и создает риски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 предоставления услуг низкого качества, а также возникновения угрозы безопасности туристов.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  <w:t xml:space="preserve">Эффективность введения практики постоянных рейдов определяется условиями концентрации туристических потоков в определенных локациях и рассредоточенности их по всей территории республики.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rFonts w:ascii="PT Astra Serif" w:hAnsi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еханизм регулярного наблюдения за деятельностью экскурсоводов (гидов), гидов-переводчиков, инструкторов-проводников с целью контроля соблюдения ими обязательных требований, установленных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Федеральным законом №132-ФЗ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, позволит систематически и всесторонне мониторить деятельность экскурсоводов (гидов), гидов-переводчиков, что будет способствовать повышению уровня качества и безопасности предоставляемых услуг в сфере т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уризма, предотвратит возникновение теневого рынка.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76" w:lineRule="auto"/>
        <w:rPr>
          <w:rFonts w:ascii="PT Astra Serif" w:hAnsi="PT Astra Serif"/>
          <w:color w:val="000000" w:themeColor="text1"/>
          <w:sz w:val="26"/>
          <w:szCs w:val="26"/>
          <w:highlight w:val="yellow"/>
        </w:rPr>
      </w:pPr>
      <w:r>
        <w:rPr>
          <w:rFonts w:ascii="PT Astra Serif" w:hAnsi="PT Astra Serif"/>
          <w:color w:val="000000" w:themeColor="text1"/>
          <w:sz w:val="26"/>
          <w:szCs w:val="26"/>
          <w:highlight w:val="yellow"/>
        </w:rPr>
      </w:r>
      <w:r>
        <w:rPr>
          <w:rFonts w:ascii="PT Astra Serif" w:hAnsi="PT Astra Serif"/>
          <w:color w:val="000000" w:themeColor="text1"/>
          <w:sz w:val="26"/>
          <w:szCs w:val="26"/>
          <w:highlight w:val="yellow"/>
        </w:rPr>
      </w:r>
      <w:r>
        <w:rPr>
          <w:rFonts w:ascii="PT Astra Serif" w:hAnsi="PT Astra Serif"/>
          <w:color w:val="000000" w:themeColor="text1"/>
          <w:sz w:val="26"/>
          <w:szCs w:val="26"/>
          <w:highlight w:val="yellow"/>
        </w:rPr>
      </w:r>
    </w:p>
    <w:p>
      <w:pPr>
        <w:spacing w:after="0" w:line="276" w:lineRule="auto"/>
        <w:rPr>
          <w:rFonts w:ascii="PT Astra Serif" w:hAnsi="PT Astra Serif"/>
          <w:highlight w:val="yellow"/>
        </w:rPr>
      </w:pPr>
      <w:r>
        <w:rPr>
          <w:rFonts w:ascii="PT Astra Serif" w:hAnsi="PT Astra Serif"/>
          <w:highlight w:val="yellow"/>
        </w:rPr>
      </w:r>
      <w:r>
        <w:rPr>
          <w:rFonts w:ascii="PT Astra Serif" w:hAnsi="PT Astra Serif"/>
          <w:highlight w:val="yellow"/>
        </w:rPr>
      </w:r>
      <w:r>
        <w:rPr>
          <w:rFonts w:ascii="PT Astra Serif" w:hAnsi="PT Astra Serif"/>
          <w:highlight w:val="yellow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993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3492641"/>
      <w:showingPlcHdr w:val="true"/>
      <w:docPartObj>
        <w:docPartGallery w:val="Page Numbers (Bottom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1"/>
    <w:next w:val="861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2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1"/>
    <w:next w:val="861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2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1"/>
    <w:next w:val="861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2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1"/>
    <w:next w:val="861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2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1"/>
    <w:next w:val="861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2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1"/>
    <w:next w:val="861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2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1"/>
    <w:next w:val="861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2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1"/>
    <w:next w:val="861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1"/>
    <w:next w:val="861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2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1"/>
    <w:next w:val="861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2"/>
    <w:link w:val="705"/>
    <w:uiPriority w:val="10"/>
    <w:rPr>
      <w:sz w:val="48"/>
      <w:szCs w:val="48"/>
    </w:rPr>
  </w:style>
  <w:style w:type="paragraph" w:styleId="707">
    <w:name w:val="Subtitle"/>
    <w:basedOn w:val="861"/>
    <w:next w:val="861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2"/>
    <w:link w:val="707"/>
    <w:uiPriority w:val="11"/>
    <w:rPr>
      <w:sz w:val="24"/>
      <w:szCs w:val="24"/>
    </w:rPr>
  </w:style>
  <w:style w:type="paragraph" w:styleId="709">
    <w:name w:val="Quote"/>
    <w:basedOn w:val="861"/>
    <w:next w:val="861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1"/>
    <w:next w:val="861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1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2"/>
    <w:link w:val="713"/>
    <w:uiPriority w:val="99"/>
  </w:style>
  <w:style w:type="character" w:styleId="715">
    <w:name w:val="Footer Char"/>
    <w:basedOn w:val="862"/>
    <w:link w:val="868"/>
    <w:uiPriority w:val="99"/>
  </w:style>
  <w:style w:type="paragraph" w:styleId="716">
    <w:name w:val="Caption"/>
    <w:basedOn w:val="861"/>
    <w:next w:val="86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2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rPr>
      <w:rFonts w:ascii="Calibri" w:hAnsi="Calibri" w:eastAsia="Calibri" w:cs="Times New Roman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 w:customStyle="1">
    <w:name w:val="Default"/>
    <w:pPr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866">
    <w:name w:val="List Paragraph"/>
    <w:basedOn w:val="861"/>
    <w:uiPriority w:val="34"/>
    <w:qFormat/>
    <w:pPr>
      <w:contextualSpacing/>
      <w:ind w:left="720"/>
    </w:pPr>
  </w:style>
  <w:style w:type="character" w:styleId="867">
    <w:name w:val="Hyperlink"/>
    <w:unhideWhenUsed/>
    <w:rPr>
      <w:color w:val="0000ff"/>
      <w:u w:val="single"/>
    </w:rPr>
  </w:style>
  <w:style w:type="paragraph" w:styleId="868">
    <w:name w:val="Footer"/>
    <w:basedOn w:val="861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62"/>
    <w:link w:val="868"/>
    <w:uiPriority w:val="99"/>
    <w:rPr>
      <w:rFonts w:ascii="Calibri" w:hAnsi="Calibri" w:eastAsia="Calibri" w:cs="Times New Roman"/>
    </w:rPr>
  </w:style>
  <w:style w:type="paragraph" w:styleId="870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7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2">
    <w:name w:val="Normal (Web)"/>
    <w:basedOn w:val="8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Абсалямова Надия Ильясовна</dc:creator>
  <cp:keywords/>
  <dc:description/>
  <cp:lastModifiedBy>lifanova</cp:lastModifiedBy>
  <cp:revision>19</cp:revision>
  <dcterms:created xsi:type="dcterms:W3CDTF">2025-12-05T04:56:00Z</dcterms:created>
  <dcterms:modified xsi:type="dcterms:W3CDTF">2026-03-02T12:32:59Z</dcterms:modified>
</cp:coreProperties>
</file>