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4C300F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4C300F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государственной гражданской службы Республики Татарстан ведущего </w:t>
      </w:r>
      <w:r w:rsidR="008B5D93" w:rsidRPr="004C300F">
        <w:rPr>
          <w:rFonts w:ascii="Times New Roman" w:hAnsi="Times New Roman" w:cs="Times New Roman"/>
          <w:sz w:val="28"/>
          <w:szCs w:val="28"/>
        </w:rPr>
        <w:t xml:space="preserve">специалиста отдела </w:t>
      </w:r>
      <w:r w:rsidR="004C300F">
        <w:rPr>
          <w:rFonts w:ascii="Times New Roman" w:hAnsi="Times New Roman" w:cs="Times New Roman"/>
          <w:sz w:val="28"/>
          <w:szCs w:val="28"/>
        </w:rPr>
        <w:t>финансов, государственного заказа и мобилизационной работы</w:t>
      </w:r>
      <w:r w:rsidR="00A81CC8" w:rsidRPr="004C300F">
        <w:rPr>
          <w:rFonts w:ascii="Times New Roman" w:hAnsi="Times New Roman" w:cs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237EF0" w:rsidRDefault="00237EF0" w:rsidP="00237EF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</w:p>
    <w:p w:rsidR="00237EF0" w:rsidRPr="00F05978" w:rsidRDefault="00292AC1" w:rsidP="00237EF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z w:val="28"/>
          <w:szCs w:val="28"/>
        </w:rPr>
        <w:t>1. </w:t>
      </w:r>
      <w:r w:rsidR="00237EF0" w:rsidRPr="00F05978">
        <w:rPr>
          <w:rFonts w:ascii="Times New Roman" w:hAnsi="Times New Roman"/>
          <w:sz w:val="28"/>
          <w:szCs w:val="28"/>
        </w:rPr>
        <w:t xml:space="preserve">Наличие профессионального образования, указанного в п. 2.1.1 настоящего должностного регламента, </w:t>
      </w:r>
      <w:r w:rsidR="00237EF0" w:rsidRPr="00240655">
        <w:rPr>
          <w:rFonts w:ascii="Times New Roman" w:hAnsi="Times New Roman"/>
          <w:sz w:val="28"/>
          <w:szCs w:val="28"/>
        </w:rPr>
        <w:t xml:space="preserve">по специальностям, направлениям подготовки: </w:t>
      </w:r>
      <w:r w:rsidR="00237EF0" w:rsidRPr="001B4812">
        <w:rPr>
          <w:rFonts w:ascii="Times New Roman" w:hAnsi="Times New Roman"/>
          <w:sz w:val="28"/>
          <w:szCs w:val="28"/>
        </w:rPr>
        <w:t>«Государственное и муниципальное управление», «Менеджмент», «Экономика и управление», «Сервис», «Туризм», «Гостиничное дело», «Рекреация и спортивно-оздоровительный туризм», «Социально-культурный сервис и туризм»,  «Архитектура», «Техника и технологии строительства», «Экология и природопользование</w:t>
      </w:r>
      <w:r w:rsidR="00237EF0" w:rsidRPr="008615D6">
        <w:rPr>
          <w:rFonts w:ascii="Times New Roman" w:hAnsi="Times New Roman"/>
          <w:sz w:val="28"/>
          <w:szCs w:val="28"/>
        </w:rPr>
        <w:t>», «Математические и естественные науки», «Инженерное дело, технологии и технические науки», «География»,</w:t>
      </w:r>
      <w:r w:rsidR="00237EF0" w:rsidRPr="001B4812">
        <w:rPr>
          <w:rFonts w:ascii="Times New Roman" w:hAnsi="Times New Roman"/>
          <w:sz w:val="28"/>
          <w:szCs w:val="28"/>
        </w:rPr>
        <w:t xml:space="preserve"> «Инфокоммуникационные технологии и системы связи», «Информационные системы и технологии», «Компьютерные и информационные науки»</w:t>
      </w:r>
      <w:r w:rsidR="00237EF0">
        <w:rPr>
          <w:rFonts w:ascii="Times New Roman" w:hAnsi="Times New Roman"/>
          <w:sz w:val="28"/>
          <w:szCs w:val="28"/>
        </w:rPr>
        <w:t xml:space="preserve"> или и</w:t>
      </w:r>
      <w:r w:rsidR="00237EF0" w:rsidRPr="00240655">
        <w:rPr>
          <w:rFonts w:ascii="Times New Roman" w:hAnsi="Times New Roman"/>
          <w:sz w:val="28"/>
          <w:szCs w:val="28"/>
        </w:rPr>
        <w:t>но</w:t>
      </w:r>
      <w:r w:rsidR="00237EF0">
        <w:rPr>
          <w:rFonts w:ascii="Times New Roman" w:hAnsi="Times New Roman"/>
          <w:sz w:val="28"/>
          <w:szCs w:val="28"/>
        </w:rPr>
        <w:t>му</w:t>
      </w:r>
      <w:r w:rsidR="00237EF0" w:rsidRPr="00240655">
        <w:rPr>
          <w:rFonts w:ascii="Times New Roman" w:hAnsi="Times New Roman"/>
          <w:sz w:val="28"/>
          <w:szCs w:val="28"/>
        </w:rPr>
        <w:t xml:space="preserve"> направлени</w:t>
      </w:r>
      <w:r w:rsidR="00237EF0">
        <w:rPr>
          <w:rFonts w:ascii="Times New Roman" w:hAnsi="Times New Roman"/>
          <w:sz w:val="28"/>
          <w:szCs w:val="28"/>
        </w:rPr>
        <w:t>ю</w:t>
      </w:r>
      <w:r w:rsidR="00237EF0" w:rsidRPr="00240655">
        <w:rPr>
          <w:rFonts w:ascii="Times New Roman" w:hAnsi="Times New Roman"/>
          <w:sz w:val="28"/>
          <w:szCs w:val="28"/>
        </w:rPr>
        <w:t xml:space="preserve"> подготовки (специальности), для которого законодательством Российской Федерации об образовании установлено соответствие данным направлениям подготовки (специальностям), указанному в предыдущих перечнях профессий, специальностей и направлений подготовки.  </w:t>
      </w:r>
    </w:p>
    <w:p w:rsidR="008B5D93" w:rsidRDefault="008B5D93" w:rsidP="008B5D9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 xml:space="preserve">Об утверждении Положения о проведении конкурса на замещение вакантной должности </w:t>
      </w:r>
      <w:r w:rsidR="00AB46E3" w:rsidRPr="00AB46E3">
        <w:rPr>
          <w:sz w:val="28"/>
          <w:szCs w:val="28"/>
        </w:rPr>
        <w:lastRenderedPageBreak/>
        <w:t>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237EF0">
        <w:rPr>
          <w:sz w:val="28"/>
          <w:szCs w:val="28"/>
        </w:rPr>
        <w:t>А.М.Гущенкова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237EF0">
        <w:rPr>
          <w:rFonts w:ascii="Times New Roman" w:hAnsi="Times New Roman" w:cs="Times New Roman"/>
          <w:sz w:val="28"/>
          <w:szCs w:val="28"/>
        </w:rPr>
        <w:t>30</w:t>
      </w:r>
      <w:r w:rsidR="004C300F">
        <w:rPr>
          <w:rFonts w:ascii="Times New Roman" w:hAnsi="Times New Roman" w:cs="Times New Roman"/>
          <w:sz w:val="28"/>
          <w:szCs w:val="28"/>
        </w:rPr>
        <w:t xml:space="preserve"> </w:t>
      </w:r>
      <w:r w:rsidR="002C1E6E">
        <w:rPr>
          <w:rFonts w:ascii="Times New Roman" w:hAnsi="Times New Roman" w:cs="Times New Roman"/>
          <w:sz w:val="28"/>
          <w:szCs w:val="28"/>
        </w:rPr>
        <w:t>декабря 2022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1E6E">
        <w:rPr>
          <w:rFonts w:ascii="Times New Roman" w:hAnsi="Times New Roman" w:cs="Times New Roman"/>
          <w:sz w:val="28"/>
          <w:szCs w:val="28"/>
        </w:rPr>
        <w:t>года по 18 января</w:t>
      </w:r>
      <w:bookmarkStart w:id="0" w:name="_GoBack"/>
      <w:bookmarkEnd w:id="0"/>
      <w:r w:rsidR="002C1E6E">
        <w:rPr>
          <w:rFonts w:ascii="Times New Roman" w:hAnsi="Times New Roman" w:cs="Times New Roman"/>
          <w:sz w:val="28"/>
          <w:szCs w:val="28"/>
        </w:rPr>
        <w:t xml:space="preserve"> 2023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2C1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02 </w:t>
      </w:r>
      <w:r w:rsidR="00237EF0">
        <w:rPr>
          <w:rStyle w:val="aa"/>
          <w:rFonts w:ascii="Times New Roman" w:hAnsi="Times New Roman" w:cs="Times New Roman"/>
          <w:b w:val="0"/>
          <w:sz w:val="28"/>
          <w:szCs w:val="28"/>
        </w:rPr>
        <w:t>февраля</w:t>
      </w:r>
      <w:r w:rsidR="002C1E6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2023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</w:t>
      </w:r>
      <w:r w:rsidR="00237EF0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работу по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материально-техническо</w:t>
      </w:r>
      <w:r>
        <w:rPr>
          <w:rFonts w:ascii="Times New Roman" w:hAnsi="Times New Roman" w:cs="Times New Roman"/>
          <w:sz w:val="28"/>
          <w:szCs w:val="28"/>
        </w:rPr>
        <w:t>му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деятельности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 (далее – Госкомитет)</w:t>
      </w:r>
      <w:r w:rsidRPr="00C238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2388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3886">
        <w:rPr>
          <w:rFonts w:ascii="Times New Roman" w:hAnsi="Times New Roman" w:cs="Times New Roman"/>
          <w:sz w:val="28"/>
          <w:szCs w:val="28"/>
        </w:rPr>
        <w:t xml:space="preserve"> за сохранностью имущества</w:t>
      </w:r>
      <w:r>
        <w:rPr>
          <w:rFonts w:ascii="Times New Roman" w:hAnsi="Times New Roman" w:cs="Times New Roman"/>
          <w:sz w:val="28"/>
          <w:szCs w:val="28"/>
        </w:rPr>
        <w:t xml:space="preserve"> (основных средств, товарно-материальных ценностей)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 здания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работу по поддержанию помещений здания Госкомитета и прилегающей к нему территории в соответствии с санитарно-гигиеническими нормами;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оформление необходимых документов для заключения договоров на оказание услуг по содержанию здания, помещений, обслуживание оборудования, на приобретение различных товаров (хозяйственные товары, канцелярские товары, бытовая химия, офисная техника, компьютерное оборудование и т.д.) для нужд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учет расходования материальных ценностей и составление установленной отчетности;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осуществляет совместно с другими структурными подразделениями Госкомитета работу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23886">
        <w:rPr>
          <w:rFonts w:ascii="Times New Roman" w:hAnsi="Times New Roman" w:cs="Times New Roman"/>
          <w:sz w:val="28"/>
          <w:szCs w:val="28"/>
        </w:rPr>
        <w:t>материально-техническо</w:t>
      </w:r>
      <w:r>
        <w:rPr>
          <w:rFonts w:ascii="Times New Roman" w:hAnsi="Times New Roman" w:cs="Times New Roman"/>
          <w:sz w:val="28"/>
          <w:szCs w:val="28"/>
        </w:rPr>
        <w:t>му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 техническо</w:t>
      </w:r>
      <w:r>
        <w:rPr>
          <w:rFonts w:ascii="Times New Roman" w:hAnsi="Times New Roman" w:cs="Times New Roman"/>
          <w:sz w:val="28"/>
          <w:szCs w:val="28"/>
        </w:rPr>
        <w:t>му сопровождению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проводимых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Госкомитетом </w:t>
      </w:r>
      <w:r w:rsidRPr="00C23886">
        <w:rPr>
          <w:rFonts w:ascii="Times New Roman" w:hAnsi="Times New Roman" w:cs="Times New Roman"/>
          <w:sz w:val="28"/>
          <w:szCs w:val="28"/>
        </w:rPr>
        <w:t>мероприятий, в том числе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коллегии, видеоконференцсвязи</w:t>
      </w:r>
      <w:r w:rsidRPr="00C23886">
        <w:rPr>
          <w:rFonts w:ascii="Times New Roman" w:hAnsi="Times New Roman" w:cs="Times New Roman"/>
          <w:sz w:val="28"/>
          <w:szCs w:val="28"/>
        </w:rPr>
        <w:t>, совещани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>, семинар</w:t>
      </w:r>
      <w:r>
        <w:rPr>
          <w:rFonts w:ascii="Times New Roman" w:hAnsi="Times New Roman" w:cs="Times New Roman"/>
          <w:sz w:val="28"/>
          <w:szCs w:val="28"/>
        </w:rPr>
        <w:t>ов и др.</w:t>
      </w:r>
      <w:r w:rsidRPr="00C23886">
        <w:rPr>
          <w:rFonts w:ascii="Times New Roman" w:hAnsi="Times New Roman" w:cs="Times New Roman"/>
          <w:sz w:val="28"/>
          <w:szCs w:val="28"/>
        </w:rPr>
        <w:t>;</w:t>
      </w:r>
    </w:p>
    <w:p w:rsidR="00237EF0" w:rsidRPr="00555773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5773">
        <w:rPr>
          <w:rFonts w:ascii="Times New Roman" w:hAnsi="Times New Roman" w:cs="Times New Roman"/>
          <w:sz w:val="28"/>
          <w:szCs w:val="28"/>
        </w:rPr>
        <w:t>осуществляет обеспечение (закупку) наградной атрибутики (бланков благодарственных писем, почетных грамот, рамок и т.д.) для торжественных церемоний (мероприятий)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и цветочной продукции;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правильность и эффективность эксплуатации здания, оборудования и расходование материальных ценностей, рациональное использование материально-технических средств сотрудниками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оформляет заказы на изготовление служебных удостоверений со</w:t>
      </w:r>
      <w:r>
        <w:rPr>
          <w:rFonts w:ascii="Times New Roman" w:hAnsi="Times New Roman" w:cs="Times New Roman"/>
          <w:sz w:val="28"/>
          <w:szCs w:val="28"/>
        </w:rPr>
        <w:t>трудникам Госкомитета, печатей и</w:t>
      </w:r>
      <w:r w:rsidRPr="00C23886">
        <w:rPr>
          <w:rFonts w:ascii="Times New Roman" w:hAnsi="Times New Roman" w:cs="Times New Roman"/>
          <w:sz w:val="28"/>
          <w:szCs w:val="28"/>
        </w:rPr>
        <w:t xml:space="preserve"> штампов, ведет их учет и списание;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 по обслуживанию делегаций, посещающих Госкомитет;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низует пропускной режим в здании</w:t>
      </w:r>
      <w:r w:rsidRPr="00C23886">
        <w:rPr>
          <w:rFonts w:ascii="Times New Roman" w:hAnsi="Times New Roman" w:cs="Times New Roman"/>
          <w:sz w:val="28"/>
          <w:szCs w:val="28"/>
        </w:rPr>
        <w:t xml:space="preserve"> Госкомитета, обеспечивает соблюдение установленного режима;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выполнение противопожарных мероприятий и содержание в исправном состоянии противопожарного инвентаря и средств защиты;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ведет работу по организации социально-бытового обслуживания аппарата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контроль за качеством выполнения ремонтных и реконструкционных работ здания Госкомитета и инженерных сетей;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инструктирует работников структурных подразделений Госкомитета по вопросам работы с документами по обеспечению сохранности основных и малоценных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Pr="00C23886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приказов по вопросам, входящим в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обязанности, установленные настоящим должностным регламентом</w:t>
      </w:r>
      <w:r w:rsidRPr="00C23886">
        <w:rPr>
          <w:rFonts w:ascii="Times New Roman" w:hAnsi="Times New Roman" w:cs="Times New Roman"/>
          <w:sz w:val="28"/>
          <w:szCs w:val="28"/>
        </w:rPr>
        <w:t>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работу по разработке проектов контрактов на электро- тепло- водоснабжение,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 w:rsidRPr="00555773">
        <w:rPr>
          <w:rFonts w:ascii="Times New Roman" w:hAnsi="Times New Roman" w:cs="Times New Roman"/>
          <w:sz w:val="28"/>
          <w:szCs w:val="28"/>
        </w:rPr>
        <w:t>телефонной и мобильной связью и т.д.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3886">
        <w:rPr>
          <w:rFonts w:ascii="Times New Roman" w:hAnsi="Times New Roman" w:cs="Times New Roman"/>
          <w:sz w:val="28"/>
          <w:szCs w:val="28"/>
        </w:rPr>
        <w:t>вносит необходимые изме</w:t>
      </w:r>
      <w:r>
        <w:rPr>
          <w:rFonts w:ascii="Times New Roman" w:hAnsi="Times New Roman" w:cs="Times New Roman"/>
          <w:sz w:val="28"/>
          <w:szCs w:val="28"/>
        </w:rPr>
        <w:t>нения и дополнения;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работу по охране труда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разработке и выполнению локальных нормативных актов Госкомитета, утверждающих требования, нормы и правила охраны труда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расследования несчастных случаев, обеспечение деятельности комиссии по расследованию несчастного случая;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оформление и хранение документов, касающихся требований охраны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86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сроками;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вводный инструктаж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3886">
        <w:rPr>
          <w:rFonts w:ascii="Times New Roman" w:hAnsi="Times New Roman" w:cs="Times New Roman"/>
          <w:sz w:val="28"/>
          <w:szCs w:val="28"/>
        </w:rPr>
        <w:t>доводит до сведения сотрудников Госкомитета нормативные правовые акты по охране труда Российской Федерации и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C60">
        <w:rPr>
          <w:rFonts w:ascii="Times New Roman" w:hAnsi="Times New Roman" w:cs="Times New Roman"/>
          <w:sz w:val="28"/>
          <w:szCs w:val="28"/>
        </w:rPr>
        <w:t xml:space="preserve"> </w:t>
      </w:r>
      <w:r w:rsidRPr="00C23886">
        <w:rPr>
          <w:rFonts w:ascii="Times New Roman" w:hAnsi="Times New Roman" w:cs="Times New Roman"/>
          <w:sz w:val="28"/>
          <w:szCs w:val="28"/>
        </w:rPr>
        <w:t>составляет отчетность по охране и условиям труда по формам, утвержденным Госкомстатом России;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своевременное обучение по охране труда сотрудников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реализацию мероприятий по энергосбережению и энергоэффективности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lastRenderedPageBreak/>
        <w:t>обеспечивает функционирование служебных и подсобных помещений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учет материальных ценностей, своевременное списание основных и малоценных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предоставляет авансовые отчеты по затраченным средствам в отдел бухгалтерского учета и госуда</w:t>
      </w:r>
      <w:r>
        <w:rPr>
          <w:rFonts w:ascii="Times New Roman" w:hAnsi="Times New Roman" w:cs="Times New Roman"/>
          <w:sz w:val="28"/>
          <w:szCs w:val="28"/>
        </w:rPr>
        <w:t>рственного заказа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Pr="00C23886">
        <w:rPr>
          <w:rFonts w:ascii="Times New Roman" w:hAnsi="Times New Roman" w:cs="Times New Roman"/>
          <w:sz w:val="28"/>
          <w:szCs w:val="28"/>
        </w:rPr>
        <w:t xml:space="preserve">документации в области охраны окружающей среды при обращении с отходами производства и потребления; 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</w:t>
      </w:r>
      <w:r w:rsidRPr="00C23886">
        <w:rPr>
          <w:rFonts w:ascii="Times New Roman" w:hAnsi="Times New Roman" w:cs="Times New Roman"/>
          <w:sz w:val="28"/>
          <w:szCs w:val="28"/>
        </w:rPr>
        <w:t xml:space="preserve"> за своевременной сдачей наиболее распространенных отходов для вторичной переработки;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C23886">
        <w:rPr>
          <w:rFonts w:ascii="Times New Roman" w:hAnsi="Times New Roman" w:cs="Times New Roman"/>
          <w:sz w:val="28"/>
          <w:szCs w:val="28"/>
        </w:rPr>
        <w:t xml:space="preserve"> работу по подготовке технических заданий на проведение конкурсных процедур по размещению государственного заказа на услуги и </w:t>
      </w:r>
      <w:r>
        <w:rPr>
          <w:rFonts w:ascii="Times New Roman" w:hAnsi="Times New Roman" w:cs="Times New Roman"/>
          <w:sz w:val="28"/>
          <w:szCs w:val="28"/>
        </w:rPr>
        <w:t>приобретение товара</w:t>
      </w:r>
      <w:r w:rsidRPr="00C23886">
        <w:rPr>
          <w:rFonts w:ascii="Times New Roman" w:hAnsi="Times New Roman" w:cs="Times New Roman"/>
          <w:sz w:val="28"/>
          <w:szCs w:val="28"/>
        </w:rPr>
        <w:t xml:space="preserve"> для обеспечения хозяйственной деятельности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информационно-разъяснительную работу среди сотрудников Госкомитета, направленную на обеспечение сохранности и содержание в исправном состоянии помещений и имущества Госкомитета, бережное отношение к оборудованию и экономное использование материальных и энергетических ресурсов (воды, канцелярских принадлежносте</w:t>
      </w:r>
      <w:r>
        <w:rPr>
          <w:rFonts w:ascii="Times New Roman" w:hAnsi="Times New Roman" w:cs="Times New Roman"/>
          <w:sz w:val="28"/>
          <w:szCs w:val="28"/>
        </w:rPr>
        <w:t>й, расходных материалов и т.д.);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формировании и реализации единой государственной политики в сфере 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 </w:t>
      </w:r>
      <w:r w:rsidRPr="00C23886">
        <w:rPr>
          <w:rFonts w:ascii="Times New Roman" w:hAnsi="Times New Roman" w:cs="Times New Roman"/>
          <w:sz w:val="28"/>
          <w:szCs w:val="28"/>
        </w:rPr>
        <w:t xml:space="preserve">совместно с Кабинетом Министров Республики Татарстан, </w:t>
      </w:r>
      <w:r w:rsidRPr="009845B8">
        <w:rPr>
          <w:rFonts w:ascii="Times New Roman" w:hAnsi="Times New Roman" w:cs="Times New Roman"/>
          <w:sz w:val="28"/>
          <w:szCs w:val="28"/>
        </w:rPr>
        <w:t>Министерством цифрового развития государственного управления, информационных технологий и связи Республики Татарстан, Центром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информационных технологий Республики Татарстан;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разрабатывает предложения по обеспечению единой государственной политики в области информационных технологий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разрабатывает проекты нормативных правовых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23886">
        <w:rPr>
          <w:rFonts w:ascii="Times New Roman" w:hAnsi="Times New Roman" w:cs="Times New Roman"/>
          <w:sz w:val="28"/>
          <w:szCs w:val="28"/>
        </w:rPr>
        <w:t xml:space="preserve"> в области информатизации, связи, информационной безопасности;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координирует процессы создания и использования информационных, автоматизированных и информационно-вычислительных систем и сетей, баз и банков данных, обеспечивает контроль и информационную безопасность этих работ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экспертизу информационных, автоматизированных, информационно-вычислительных систем и сетей, баз и банков данных в пределах своей компетенции;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обобщение, изучение и анализ передового опыта, мониторинг состояния, тенденций развития, внедрения и использования информационных технологий и технических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внедрение и техническое сопровождение информационных технологий и технических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работу по обеспечению Госкомитета средствами информатизации и офисной техники, их своевременному обслуживанию, ремонту и замене устаревшей техники;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установку, сопровождение программного обеспечения, информационных систем, баз данных Госкомитета в пределах своей компетенции;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lastRenderedPageBreak/>
        <w:t>организует и контролирует доступ к локальной и глобальным информационным сетям;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обеспечение технического сопровождения серверной техники, локальной вычислительной сети, технических средств, систем связи, охранно-пожарных систем;</w:t>
      </w:r>
    </w:p>
    <w:p w:rsidR="00237EF0" w:rsidRPr="0076385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3850">
        <w:rPr>
          <w:rFonts w:ascii="Times New Roman" w:hAnsi="Times New Roman" w:cs="Times New Roman"/>
          <w:sz w:val="28"/>
          <w:szCs w:val="28"/>
        </w:rPr>
        <w:t>осуществляет обеспечение сопровождения официального сайта Госкомитета в информационно-телекоммуникационной сети «Интернет» (http://tourism.tatarstan.ru/);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проведению единой политики (концепции) в сфере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23886">
        <w:rPr>
          <w:rFonts w:ascii="Times New Roman" w:hAnsi="Times New Roman" w:cs="Times New Roman"/>
          <w:sz w:val="28"/>
          <w:szCs w:val="28"/>
        </w:rPr>
        <w:t>, защиты от несанкционированного доступа;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и мероприятий по защите информации;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техническое сопровождение аппаратных, программных средств защиты информации;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Pr="00C23886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обучению и повышению квалификации в области информационных технологий работников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работе комиссии по инвентаризации;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работе постоянно действующей комиссии по организации информационной безопасности и защите персональных данных в Госкомитете;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осуществляет контроль за ведением и актуализацией </w:t>
      </w:r>
      <w:r>
        <w:rPr>
          <w:rFonts w:ascii="Times New Roman" w:hAnsi="Times New Roman" w:cs="Times New Roman"/>
          <w:sz w:val="28"/>
          <w:szCs w:val="28"/>
        </w:rPr>
        <w:t xml:space="preserve">учетных записей </w:t>
      </w:r>
      <w:r w:rsidRPr="00C23886">
        <w:rPr>
          <w:rFonts w:ascii="Times New Roman" w:hAnsi="Times New Roman" w:cs="Times New Roman"/>
          <w:sz w:val="28"/>
          <w:szCs w:val="28"/>
        </w:rPr>
        <w:t xml:space="preserve">справочника пользователей Госкомитета в Единой межведомственной системе электронного документооборота органов государственной власти Республики Татарстан; </w:t>
      </w:r>
    </w:p>
    <w:p w:rsidR="00237EF0" w:rsidRPr="0088689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689D">
        <w:rPr>
          <w:rFonts w:ascii="Times New Roman" w:hAnsi="Times New Roman" w:cs="Times New Roman"/>
          <w:sz w:val="28"/>
          <w:szCs w:val="28"/>
        </w:rPr>
        <w:t>ведет работу по эксплуатации и сопровождению СКЗИ «Континент-АП», АРМ «СУФД ДУБП», в том числе обеспечивает получение, своевременную смену сертификатов и соблюдение конфиденциальности соответствующих кл</w:t>
      </w:r>
      <w:r>
        <w:rPr>
          <w:rFonts w:ascii="Times New Roman" w:hAnsi="Times New Roman" w:cs="Times New Roman"/>
          <w:sz w:val="28"/>
          <w:szCs w:val="28"/>
        </w:rPr>
        <w:t>ючей аутентификации, шифрования;</w:t>
      </w:r>
    </w:p>
    <w:p w:rsidR="00237EF0" w:rsidRPr="0088689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689D">
        <w:rPr>
          <w:rFonts w:ascii="Times New Roman" w:hAnsi="Times New Roman" w:cs="Times New Roman"/>
          <w:sz w:val="28"/>
          <w:szCs w:val="28"/>
        </w:rPr>
        <w:t>существляет обязанности администратора региональной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информационно-аналитически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>, отчет</w:t>
      </w:r>
      <w:r>
        <w:rPr>
          <w:rFonts w:ascii="Times New Roman" w:hAnsi="Times New Roman" w:cs="Times New Roman"/>
          <w:sz w:val="28"/>
          <w:szCs w:val="28"/>
        </w:rPr>
        <w:t xml:space="preserve">ов, справок, </w:t>
      </w:r>
      <w:r w:rsidRPr="00C23886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 xml:space="preserve"> на письма и запросы, а также друг</w:t>
      </w:r>
      <w:r>
        <w:rPr>
          <w:rFonts w:ascii="Times New Roman" w:hAnsi="Times New Roman" w:cs="Times New Roman"/>
          <w:sz w:val="28"/>
          <w:szCs w:val="28"/>
        </w:rPr>
        <w:t>их данных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ведение секретного делопроизводства и обеспечивает в пределах своей компетенции проведение мероприятий по защите сведений, составляющих государственную или служебную тайну;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604E">
        <w:rPr>
          <w:rFonts w:ascii="Times New Roman" w:hAnsi="Times New Roman" w:cs="Times New Roman"/>
          <w:sz w:val="28"/>
          <w:szCs w:val="28"/>
        </w:rPr>
        <w:t>обеспечивает в части, относящейся к сфере ведения Госкомитета, проведение комплекса организационных и технических мероприятий по мобилизационной подготовке</w:t>
      </w:r>
      <w:r>
        <w:rPr>
          <w:rFonts w:ascii="Times New Roman" w:hAnsi="Times New Roman" w:cs="Times New Roman"/>
          <w:sz w:val="28"/>
          <w:szCs w:val="28"/>
        </w:rPr>
        <w:t>, мобилизации, подготовке и обеспечению выполнения мобилизационного плана</w:t>
      </w:r>
      <w:r w:rsidRPr="0067604E">
        <w:rPr>
          <w:rFonts w:ascii="Times New Roman" w:hAnsi="Times New Roman" w:cs="Times New Roman"/>
          <w:sz w:val="28"/>
          <w:szCs w:val="28"/>
        </w:rPr>
        <w:t>;</w:t>
      </w:r>
    </w:p>
    <w:p w:rsidR="00237EF0" w:rsidRPr="00696E34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>обеспечивает безопасность персональных данных государственных гражданских служащих и работников Госкомитета и иных лиц при их обработке;</w:t>
      </w:r>
    </w:p>
    <w:p w:rsidR="00237EF0" w:rsidRPr="00696E34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 xml:space="preserve">осуществляет соблюдение правил обработки персональных данных, установленных нормативными правовыми актами федеральных органов исполнительной власти, органов исполнительной власти Республики Татарстан, а </w:t>
      </w:r>
      <w:r w:rsidRPr="00696E34">
        <w:rPr>
          <w:rFonts w:ascii="Times New Roman" w:hAnsi="Times New Roman" w:cs="Times New Roman"/>
          <w:sz w:val="28"/>
          <w:szCs w:val="28"/>
        </w:rPr>
        <w:lastRenderedPageBreak/>
        <w:t xml:space="preserve">также локальными правовыми актами Госкомитета; 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>осуществляет соблюдение условий, обеспечивающих сохранность персональных данных и исключающих н</w:t>
      </w:r>
      <w:r>
        <w:rPr>
          <w:rFonts w:ascii="Times New Roman" w:hAnsi="Times New Roman" w:cs="Times New Roman"/>
          <w:sz w:val="28"/>
          <w:szCs w:val="28"/>
        </w:rPr>
        <w:t>есанкционированный к ним доступ;</w:t>
      </w:r>
    </w:p>
    <w:p w:rsidR="00237EF0" w:rsidRPr="006F270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70D">
        <w:rPr>
          <w:rFonts w:ascii="Times New Roman" w:hAnsi="Times New Roman" w:cs="Times New Roman"/>
          <w:sz w:val="28"/>
          <w:szCs w:val="28"/>
        </w:rPr>
        <w:t xml:space="preserve"> принимает участие в проведении учений при осуществлении мер по противодействию терроризму;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70D">
        <w:rPr>
          <w:rFonts w:ascii="Times New Roman" w:hAnsi="Times New Roman" w:cs="Times New Roman"/>
          <w:sz w:val="28"/>
          <w:szCs w:val="28"/>
        </w:rPr>
        <w:t>осуществляет работу по организации и обеспечению выполнения требований к антитеррористической защищенности объектов (территорий</w:t>
      </w:r>
      <w:r>
        <w:rPr>
          <w:rFonts w:ascii="Times New Roman" w:hAnsi="Times New Roman" w:cs="Times New Roman"/>
          <w:sz w:val="28"/>
          <w:szCs w:val="28"/>
        </w:rPr>
        <w:t>), закрепленных за Госкомитетом.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5D" w:rsidRDefault="00D3235D" w:rsidP="007138B3">
      <w:pPr>
        <w:spacing w:after="0" w:line="240" w:lineRule="auto"/>
      </w:pPr>
      <w:r>
        <w:separator/>
      </w:r>
    </w:p>
  </w:endnote>
  <w:endnote w:type="continuationSeparator" w:id="0">
    <w:p w:rsidR="00D3235D" w:rsidRDefault="00D3235D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5D" w:rsidRDefault="00D3235D" w:rsidP="007138B3">
      <w:pPr>
        <w:spacing w:after="0" w:line="240" w:lineRule="auto"/>
      </w:pPr>
      <w:r>
        <w:separator/>
      </w:r>
    </w:p>
  </w:footnote>
  <w:footnote w:type="continuationSeparator" w:id="0">
    <w:p w:rsidR="00D3235D" w:rsidRDefault="00D3235D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E4FA9"/>
    <w:multiLevelType w:val="hybridMultilevel"/>
    <w:tmpl w:val="76F0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7E07F4">
      <w:start w:val="1"/>
      <w:numFmt w:val="decimal"/>
      <w:lvlText w:val="%2)"/>
      <w:lvlJc w:val="left"/>
      <w:pPr>
        <w:ind w:left="2269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7EF0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1E6E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235D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4467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8DDC-55BB-434B-B5E1-F6E60588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Елизарова Елена Евгеньевна</cp:lastModifiedBy>
  <cp:revision>85</cp:revision>
  <cp:lastPrinted>2022-01-21T13:25:00Z</cp:lastPrinted>
  <dcterms:created xsi:type="dcterms:W3CDTF">2015-03-11T12:46:00Z</dcterms:created>
  <dcterms:modified xsi:type="dcterms:W3CDTF">2023-01-13T13:36:00Z</dcterms:modified>
</cp:coreProperties>
</file>