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6F6ED5" w:rsidRDefault="006F6ED5" w:rsidP="006F6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   (далее -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включение в кадровый резерв в </w:t>
      </w:r>
      <w:r w:rsidRPr="00A81014">
        <w:rPr>
          <w:rFonts w:ascii="Times New Roman" w:hAnsi="Times New Roman"/>
          <w:b/>
          <w:sz w:val="28"/>
          <w:szCs w:val="28"/>
        </w:rPr>
        <w:t xml:space="preserve">отдел </w:t>
      </w:r>
      <w:r>
        <w:rPr>
          <w:rFonts w:ascii="Times New Roman" w:hAnsi="Times New Roman"/>
          <w:b/>
          <w:sz w:val="28"/>
          <w:szCs w:val="28"/>
        </w:rPr>
        <w:t>развития туристской индустрии</w:t>
      </w:r>
      <w:r w:rsidRPr="00A81014">
        <w:rPr>
          <w:rFonts w:ascii="Times New Roman" w:hAnsi="Times New Roman"/>
          <w:b/>
          <w:sz w:val="28"/>
          <w:szCs w:val="28"/>
        </w:rPr>
        <w:t xml:space="preserve"> для замещения ведущей группы должностей государственной гражданской службы Республики Татарстан категории «специалисты»</w:t>
      </w:r>
      <w:r>
        <w:rPr>
          <w:rFonts w:ascii="Times New Roman" w:hAnsi="Times New Roman"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090D83" w:rsidRPr="00093633" w:rsidRDefault="00292AC1" w:rsidP="00090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090D83" w:rsidRPr="00355B96">
        <w:rPr>
          <w:rFonts w:ascii="Times New Roman" w:hAnsi="Times New Roman"/>
          <w:sz w:val="28"/>
          <w:szCs w:val="28"/>
        </w:rPr>
        <w:t>«</w:t>
      </w:r>
      <w:r w:rsidR="00090D83" w:rsidRPr="00093633">
        <w:rPr>
          <w:rFonts w:ascii="Times New Roman" w:hAnsi="Times New Roman"/>
          <w:sz w:val="28"/>
          <w:szCs w:val="28"/>
        </w:rPr>
        <w:t xml:space="preserve">Государственное и муниципальное управление», «Менеджмент», «Экономика и управление», </w:t>
      </w:r>
      <w:bookmarkStart w:id="0" w:name="_GoBack"/>
      <w:bookmarkEnd w:id="0"/>
      <w:r w:rsidR="00090D83" w:rsidRPr="00093633">
        <w:rPr>
          <w:rFonts w:ascii="Times New Roman" w:hAnsi="Times New Roman"/>
          <w:sz w:val="28"/>
          <w:szCs w:val="28"/>
        </w:rPr>
        <w:t>«Сервис», «Туризм», «Гостиничное дело», «Международные отношения», «Рекреация и спортивно-оздоровительный туризм», «Социально-культурный сервис и туризм», «Математика и естественные науки», «Образование и педагогические науки», «География», «Языкознание и литературоведение».</w:t>
      </w:r>
    </w:p>
    <w:p w:rsidR="00292AC1" w:rsidRDefault="00292AC1" w:rsidP="00090D83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lastRenderedPageBreak/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757E7E">
        <w:rPr>
          <w:rFonts w:ascii="Times New Roman" w:hAnsi="Times New Roman"/>
          <w:sz w:val="28"/>
          <w:szCs w:val="28"/>
        </w:rPr>
        <w:t>;</w:t>
      </w:r>
    </w:p>
    <w:p w:rsidR="00757E7E" w:rsidRDefault="00757E7E" w:rsidP="00757E7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</w:t>
      </w:r>
      <w:r w:rsidR="00BB0381">
        <w:rPr>
          <w:sz w:val="28"/>
          <w:szCs w:val="28"/>
        </w:rPr>
        <w:lastRenderedPageBreak/>
        <w:t>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4C300F">
        <w:rPr>
          <w:rFonts w:ascii="Times New Roman" w:hAnsi="Times New Roman" w:cs="Times New Roman"/>
          <w:sz w:val="28"/>
          <w:szCs w:val="28"/>
        </w:rPr>
        <w:t>25 января                                по 14 февраля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>02 марта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B59" w:rsidRPr="00093633" w:rsidRDefault="00F52B59" w:rsidP="00F52B5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B26">
        <w:rPr>
          <w:rFonts w:ascii="Times New Roman" w:hAnsi="Times New Roman"/>
          <w:snapToGrid w:val="0"/>
          <w:sz w:val="28"/>
          <w:szCs w:val="28"/>
        </w:rPr>
        <w:t xml:space="preserve">1) </w:t>
      </w:r>
      <w:r>
        <w:rPr>
          <w:rFonts w:ascii="Times New Roman" w:hAnsi="Times New Roman"/>
          <w:snapToGrid w:val="0"/>
          <w:sz w:val="28"/>
          <w:szCs w:val="28"/>
        </w:rPr>
        <w:t xml:space="preserve">участие в сборе статистической информации музеев, музеев-заповедников Республики Татарстан, аэропортов, коллективных средств размещения, министерств и </w:t>
      </w:r>
      <w:r w:rsidRPr="00093633">
        <w:rPr>
          <w:rFonts w:ascii="Times New Roman" w:eastAsia="Calibri" w:hAnsi="Times New Roman" w:cs="Times New Roman"/>
          <w:sz w:val="28"/>
          <w:szCs w:val="28"/>
        </w:rPr>
        <w:t>ведомств;</w:t>
      </w:r>
    </w:p>
    <w:p w:rsidR="00F52B59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осуществление комплекса мер по координации и контролю деятельности предприятий, учреждений, организаций туристской индустрии Республики Татарстан независимо от форм собственности </w:t>
      </w:r>
      <w:r w:rsidRPr="00575B6C">
        <w:rPr>
          <w:rFonts w:ascii="Times New Roman" w:eastAsia="Calibri" w:hAnsi="Times New Roman" w:cs="Times New Roman"/>
          <w:sz w:val="28"/>
          <w:szCs w:val="28"/>
        </w:rPr>
        <w:t>и ведомственной принадлежности, в т.ч. ведет реестры и формирует базу данных п</w:t>
      </w:r>
      <w:r>
        <w:rPr>
          <w:rFonts w:ascii="Times New Roman" w:eastAsia="Calibri" w:hAnsi="Times New Roman" w:cs="Times New Roman"/>
          <w:sz w:val="28"/>
          <w:szCs w:val="28"/>
        </w:rPr>
        <w:t>редприятий туристкой индустрии Р</w:t>
      </w:r>
      <w:r w:rsidRPr="00575B6C">
        <w:rPr>
          <w:rFonts w:ascii="Times New Roman" w:eastAsia="Calibri" w:hAnsi="Times New Roman" w:cs="Times New Roman"/>
          <w:sz w:val="28"/>
          <w:szCs w:val="28"/>
        </w:rPr>
        <w:t>еспублики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Татарстан;</w:t>
      </w:r>
    </w:p>
    <w:p w:rsidR="00F52B59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093633">
        <w:rPr>
          <w:rFonts w:ascii="Times New Roman" w:eastAsia="Calibri" w:hAnsi="Times New Roman" w:cs="Times New Roman"/>
          <w:sz w:val="28"/>
          <w:szCs w:val="28"/>
        </w:rPr>
        <w:t>осуществление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информационного и методического обеспечения предприятий туристского комплекса Республики Татарстан;</w:t>
      </w:r>
    </w:p>
    <w:p w:rsidR="00F52B59" w:rsidRPr="00093633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093633">
        <w:rPr>
          <w:rFonts w:ascii="Times New Roman" w:eastAsia="Calibri" w:hAnsi="Times New Roman" w:cs="Times New Roman"/>
          <w:sz w:val="28"/>
          <w:szCs w:val="28"/>
        </w:rPr>
        <w:t>участие в подготовке (подготовка) информационно-аналитических справок, докладов, ответов на запросы о сфере туризма в Республике Татарстан;</w:t>
      </w:r>
    </w:p>
    <w:p w:rsidR="00F52B59" w:rsidRPr="00093633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093633">
        <w:rPr>
          <w:rFonts w:ascii="Times New Roman" w:eastAsia="Calibri" w:hAnsi="Times New Roman" w:cs="Times New Roman"/>
          <w:sz w:val="28"/>
          <w:szCs w:val="28"/>
        </w:rPr>
        <w:t>ведение работы по вводу ежеквартальных и годовых показателей Государственного комитета Республики Татарстан по туризму в межведомственной системе «Открытый Татарстан»;</w:t>
      </w:r>
    </w:p>
    <w:p w:rsidR="00F52B59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 </w:t>
      </w:r>
      <w:r w:rsidRPr="00093633">
        <w:rPr>
          <w:rFonts w:ascii="Times New Roman" w:eastAsia="Calibri" w:hAnsi="Times New Roman" w:cs="Times New Roman"/>
          <w:sz w:val="28"/>
          <w:szCs w:val="28"/>
        </w:rPr>
        <w:t>осуществление работы по формированию информационно-справочных материалов, созданию базы данных и статистических сведений по развитию туристской индустрии в Республике Татарстан;</w:t>
      </w:r>
    </w:p>
    <w:p w:rsidR="00F52B59" w:rsidRPr="00093633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ведение работы по развитию экскурсионной деятельности в Республике Татарстан как составной части туристского комплекса, в т.ч. по совершенствованию форм и методов экскурсионного обслуживания, выработке рекомендаций по составлению методической документации, требуемой при подготовке экскурсии, согласованию методических разработок экскурсий, актуализации методических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материалов, разработка рекомендации по расширению тематики экскурсий, разнообразию экскурсионных программ, обеспечение контроля за их использованием в деятельности экскурсионных организаций Республики Татарстан;</w:t>
      </w:r>
    </w:p>
    <w:p w:rsidR="00F52B59" w:rsidRPr="00093633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 </w:t>
      </w:r>
      <w:r w:rsidRPr="00093633">
        <w:rPr>
          <w:rFonts w:ascii="Times New Roman" w:eastAsia="Calibri" w:hAnsi="Times New Roman" w:cs="Times New Roman"/>
          <w:sz w:val="28"/>
          <w:szCs w:val="28"/>
        </w:rPr>
        <w:t>анализ и обобщение информационных материалов министерств и ведомств по реализации приоритетных направлений туризма в Республике Татарстан;</w:t>
      </w:r>
    </w:p>
    <w:p w:rsidR="00F52B59" w:rsidRPr="00093633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 </w:t>
      </w:r>
      <w:r w:rsidRPr="00093633">
        <w:rPr>
          <w:rFonts w:ascii="Times New Roman" w:eastAsia="Calibri" w:hAnsi="Times New Roman" w:cs="Times New Roman"/>
          <w:sz w:val="28"/>
          <w:szCs w:val="28"/>
        </w:rPr>
        <w:t xml:space="preserve">участие в подготовке ежегодного доклада или аналитической справки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093633">
        <w:rPr>
          <w:rFonts w:ascii="Times New Roman" w:eastAsia="Calibri" w:hAnsi="Times New Roman" w:cs="Times New Roman"/>
          <w:sz w:val="28"/>
          <w:szCs w:val="28"/>
        </w:rPr>
        <w:t>«О состоянии туризма в Республике Татарстан»;</w:t>
      </w:r>
    </w:p>
    <w:p w:rsidR="00F52B59" w:rsidRPr="00093633" w:rsidRDefault="00F52B59" w:rsidP="00F5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Pr="00093633">
        <w:rPr>
          <w:rFonts w:ascii="Times New Roman" w:eastAsia="Calibri" w:hAnsi="Times New Roman" w:cs="Times New Roman"/>
          <w:sz w:val="28"/>
          <w:szCs w:val="28"/>
        </w:rPr>
        <w:t xml:space="preserve">подготовка отчетов по выполнению </w:t>
      </w:r>
      <w:r>
        <w:rPr>
          <w:rFonts w:ascii="Times New Roman" w:eastAsia="Calibri" w:hAnsi="Times New Roman" w:cs="Times New Roman"/>
          <w:sz w:val="28"/>
          <w:szCs w:val="28"/>
        </w:rPr>
        <w:t>Госкомитетом</w:t>
      </w:r>
      <w:r w:rsidRPr="00093633">
        <w:rPr>
          <w:rFonts w:ascii="Times New Roman" w:eastAsia="Calibri" w:hAnsi="Times New Roman" w:cs="Times New Roman"/>
          <w:sz w:val="28"/>
          <w:szCs w:val="28"/>
        </w:rPr>
        <w:t xml:space="preserve"> профильных индикаторов в соответствии с Государственным заданием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деятельности;</w:t>
      </w:r>
    </w:p>
    <w:p w:rsidR="00F52B59" w:rsidRDefault="00F52B59" w:rsidP="00F52B5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 участие в международных, всероссийских семинарах, конференциях и других мероприятиях в пределах своей компетенции, а также в организации и проведении межрегиональных и республиканских мероприятий в сфере туризма и гостеприимства в Республике Татарстан;</w:t>
      </w:r>
    </w:p>
    <w:p w:rsidR="00F52B59" w:rsidRDefault="00F52B59" w:rsidP="00F52B5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12) </w:t>
      </w:r>
      <w:r w:rsidRPr="00093633">
        <w:rPr>
          <w:rFonts w:ascii="Times New Roman" w:eastAsia="Calibri" w:hAnsi="Times New Roman" w:cs="Times New Roman"/>
          <w:sz w:val="28"/>
          <w:szCs w:val="28"/>
        </w:rPr>
        <w:t>участие в анализе финансовых, экономических, социальных и иных показателей развития сферы туризма и эффективности применения мер по ее развитию, подготовка прогноза развития сферы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туризма в Республике Татарстан.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E1" w:rsidRDefault="009F24E1" w:rsidP="007138B3">
      <w:pPr>
        <w:spacing w:after="0" w:line="240" w:lineRule="auto"/>
      </w:pPr>
      <w:r>
        <w:separator/>
      </w:r>
    </w:p>
  </w:endnote>
  <w:endnote w:type="continuationSeparator" w:id="0">
    <w:p w:rsidR="009F24E1" w:rsidRDefault="009F24E1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E1" w:rsidRDefault="009F24E1" w:rsidP="007138B3">
      <w:pPr>
        <w:spacing w:after="0" w:line="240" w:lineRule="auto"/>
      </w:pPr>
      <w:r>
        <w:separator/>
      </w:r>
    </w:p>
  </w:footnote>
  <w:footnote w:type="continuationSeparator" w:id="0">
    <w:p w:rsidR="009F24E1" w:rsidRDefault="009F24E1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0D83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940C0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25CB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00DBD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6ED5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7E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91117"/>
    <w:rsid w:val="009A1AF6"/>
    <w:rsid w:val="009B640F"/>
    <w:rsid w:val="009C4E2C"/>
    <w:rsid w:val="009C6E7B"/>
    <w:rsid w:val="009D02D0"/>
    <w:rsid w:val="009E329C"/>
    <w:rsid w:val="009E35A4"/>
    <w:rsid w:val="009E6EBA"/>
    <w:rsid w:val="009F1437"/>
    <w:rsid w:val="009F24E1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52B59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C37F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058B-9DA8-4DB8-B44B-0E8D02C4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6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88</cp:revision>
  <cp:lastPrinted>2022-01-21T13:25:00Z</cp:lastPrinted>
  <dcterms:created xsi:type="dcterms:W3CDTF">2015-03-11T12:46:00Z</dcterms:created>
  <dcterms:modified xsi:type="dcterms:W3CDTF">2022-01-24T12:28:00Z</dcterms:modified>
</cp:coreProperties>
</file>