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38" w:rsidRPr="00543F60" w:rsidRDefault="00BB5CC3" w:rsidP="004257A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</w:t>
      </w:r>
      <w:r w:rsidR="00EC5A83">
        <w:rPr>
          <w:rFonts w:ascii="Times New Roman" w:hAnsi="Times New Roman" w:cs="Times New Roman"/>
          <w:b/>
          <w:sz w:val="28"/>
          <w:szCs w:val="28"/>
        </w:rPr>
        <w:t>включение в кадровый резерв</w:t>
      </w:r>
      <w:r w:rsidR="0091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A83">
        <w:rPr>
          <w:rFonts w:ascii="Times New Roman" w:hAnsi="Times New Roman" w:cs="Times New Roman"/>
          <w:b/>
          <w:sz w:val="28"/>
          <w:szCs w:val="28"/>
        </w:rPr>
        <w:t>Государственного комитета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F60"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C754A6" w:rsidRPr="00572578" w:rsidRDefault="00917F9D" w:rsidP="00FD569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D569A">
        <w:rPr>
          <w:rFonts w:ascii="Times New Roman" w:hAnsi="Times New Roman" w:cs="Times New Roman"/>
          <w:sz w:val="28"/>
          <w:szCs w:val="28"/>
        </w:rPr>
        <w:t>–</w:t>
      </w:r>
      <w:r w:rsidR="00F136C2">
        <w:rPr>
          <w:rFonts w:ascii="Times New Roman" w:hAnsi="Times New Roman" w:cs="Times New Roman"/>
          <w:sz w:val="28"/>
          <w:szCs w:val="28"/>
        </w:rPr>
        <w:t xml:space="preserve">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 w:rsidR="00EC5A83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6A5FA8">
        <w:rPr>
          <w:rFonts w:ascii="Times New Roman" w:hAnsi="Times New Roman" w:cs="Times New Roman"/>
          <w:sz w:val="28"/>
          <w:szCs w:val="28"/>
        </w:rPr>
        <w:t xml:space="preserve"> </w:t>
      </w:r>
      <w:r w:rsidR="00C754A6">
        <w:rPr>
          <w:rFonts w:ascii="Times New Roman" w:hAnsi="Times New Roman"/>
          <w:sz w:val="28"/>
          <w:szCs w:val="28"/>
        </w:rPr>
        <w:t xml:space="preserve">в </w:t>
      </w:r>
      <w:r w:rsidR="00C754A6" w:rsidRPr="00572578">
        <w:rPr>
          <w:rFonts w:ascii="Times New Roman" w:hAnsi="Times New Roman"/>
          <w:b/>
          <w:sz w:val="28"/>
          <w:szCs w:val="28"/>
        </w:rPr>
        <w:t xml:space="preserve">отдел </w:t>
      </w:r>
      <w:r w:rsidR="00803179" w:rsidRPr="00572578">
        <w:rPr>
          <w:rFonts w:ascii="Times New Roman" w:hAnsi="Times New Roman"/>
          <w:b/>
          <w:sz w:val="28"/>
          <w:szCs w:val="28"/>
        </w:rPr>
        <w:t>развития туристской индустрии</w:t>
      </w:r>
      <w:r w:rsidR="00C754A6" w:rsidRPr="00572578">
        <w:rPr>
          <w:rFonts w:ascii="Times New Roman" w:hAnsi="Times New Roman"/>
          <w:b/>
          <w:sz w:val="28"/>
          <w:szCs w:val="28"/>
        </w:rPr>
        <w:t xml:space="preserve"> для замещения главной группы должностей государственной гражданской службы Республики Тат</w:t>
      </w:r>
      <w:r w:rsidR="00ED7564" w:rsidRPr="00572578">
        <w:rPr>
          <w:rFonts w:ascii="Times New Roman" w:hAnsi="Times New Roman"/>
          <w:b/>
          <w:sz w:val="28"/>
          <w:szCs w:val="28"/>
        </w:rPr>
        <w:t>арстан категории «руководители».</w:t>
      </w:r>
    </w:p>
    <w:p w:rsidR="00ED7564" w:rsidRDefault="00ED7564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Default="004E3C8D" w:rsidP="004E3C8D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4E3C8D" w:rsidRDefault="004E3C8D" w:rsidP="004E3C8D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>
        <w:rPr>
          <w:rStyle w:val="aa"/>
          <w:rFonts w:ascii="Times New Roman" w:hAnsi="Times New Roman" w:cs="Times New Roman"/>
          <w:sz w:val="28"/>
          <w:szCs w:val="28"/>
        </w:rPr>
        <w:t>главная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>
        <w:rPr>
          <w:rStyle w:val="aa"/>
          <w:rFonts w:ascii="Times New Roman" w:hAnsi="Times New Roman" w:cs="Times New Roman"/>
          <w:sz w:val="28"/>
          <w:szCs w:val="28"/>
        </w:rPr>
        <w:t>руководители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E71C86" w:rsidRDefault="004E3C8D" w:rsidP="004E3C8D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профессиональное образование не ниже уровня специалитета, магистратуры.</w:t>
      </w:r>
    </w:p>
    <w:p w:rsidR="004E3C8D" w:rsidRDefault="004E3C8D" w:rsidP="004E3C8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Наличие стажа государственной гражданской службы или стажа работы по специальности, направлению подготовки не менее двух лет</w:t>
      </w:r>
      <w:r>
        <w:rPr>
          <w:rFonts w:ascii="Times New Roman" w:hAnsi="Times New Roman"/>
          <w:sz w:val="28"/>
          <w:szCs w:val="28"/>
        </w:rPr>
        <w:t>.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021">
        <w:rPr>
          <w:rFonts w:ascii="Times New Roman" w:hAnsi="Times New Roman"/>
          <w:sz w:val="28"/>
          <w:szCs w:val="28"/>
        </w:rPr>
        <w:t xml:space="preserve">основ </w:t>
      </w:r>
      <w:r>
        <w:rPr>
          <w:rFonts w:ascii="Times New Roman" w:hAnsi="Times New Roman"/>
          <w:sz w:val="28"/>
          <w:szCs w:val="28"/>
        </w:rPr>
        <w:t>Конституции</w:t>
      </w:r>
      <w:r w:rsidRPr="0071502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оссийской Федерации, Конституции</w:t>
      </w:r>
      <w:r w:rsidRPr="00715021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  <w:r w:rsidRPr="00715021">
        <w:rPr>
          <w:rFonts w:ascii="Times New Roman" w:hAnsi="Times New Roman"/>
          <w:sz w:val="28"/>
          <w:szCs w:val="28"/>
        </w:rPr>
        <w:t xml:space="preserve">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ED7564" w:rsidRDefault="00ED7564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Профессиональные умения</w:t>
      </w:r>
      <w:r w:rsidRPr="004C00D3">
        <w:rPr>
          <w:i/>
          <w:sz w:val="28"/>
          <w:szCs w:val="28"/>
        </w:rPr>
        <w:t>:</w:t>
      </w:r>
    </w:p>
    <w:p w:rsidR="004E3C8D" w:rsidRPr="000458AA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4E3C8D" w:rsidRPr="0031658C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>ятия и реализации</w:t>
      </w:r>
      <w:r w:rsidRPr="00702F23">
        <w:rPr>
          <w:rFonts w:ascii="Times New Roman" w:hAnsi="Times New Roman"/>
          <w:sz w:val="28"/>
          <w:szCs w:val="28"/>
        </w:rPr>
        <w:t xml:space="preserve">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4E3C8D" w:rsidRPr="00543102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 принимать и реализовывать управленческие решения;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ставить задачи и организовывать их выполнение;</w:t>
      </w:r>
    </w:p>
    <w:p w:rsidR="004E3C8D" w:rsidRDefault="004E3C8D" w:rsidP="004E3C8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021449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021449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FD569A" w:rsidRPr="00B776A5" w:rsidRDefault="00FD569A" w:rsidP="00FD569A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FD569A" w:rsidRDefault="00FD569A" w:rsidP="00572578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 w:rsidR="00572578">
        <w:rPr>
          <w:sz w:val="28"/>
          <w:szCs w:val="28"/>
        </w:rPr>
        <w:t xml:space="preserve">ты (службы) </w:t>
      </w: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 xml:space="preserve">Учетная </w:t>
      </w:r>
      <w:r w:rsidRPr="00E51D27">
        <w:rPr>
          <w:sz w:val="28"/>
          <w:szCs w:val="28"/>
        </w:rPr>
        <w:lastRenderedPageBreak/>
        <w:t>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D569A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212D8E" w:rsidRPr="000F0374" w:rsidRDefault="000F0374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12D8E" w:rsidRPr="000F0374">
        <w:rPr>
          <w:sz w:val="28"/>
          <w:szCs w:val="28"/>
        </w:rPr>
        <w:t>тестирование по вопросам, связанным с выполнением должностных обязанностей по группе должностей гражданской службы, по кото</w:t>
      </w:r>
      <w:r w:rsidR="00B703AE" w:rsidRPr="000F0374">
        <w:rPr>
          <w:sz w:val="28"/>
          <w:szCs w:val="28"/>
        </w:rPr>
        <w:t>рой формируется кадровый резерв</w:t>
      </w:r>
      <w:r w:rsidR="00212D8E" w:rsidRPr="000F0374">
        <w:rPr>
          <w:sz w:val="28"/>
          <w:szCs w:val="28"/>
        </w:rPr>
        <w:t>.</w:t>
      </w:r>
    </w:p>
    <w:p w:rsidR="00595536" w:rsidRPr="001B246D" w:rsidRDefault="00595536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>ведущим консультантом отдела 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 </w:t>
      </w:r>
      <w:r w:rsidRPr="00EE063B">
        <w:rPr>
          <w:sz w:val="28"/>
          <w:szCs w:val="28"/>
        </w:rPr>
        <w:t xml:space="preserve">2 в рабочие дни, </w:t>
      </w:r>
      <w:r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Pr="003E0F1D">
          <w:rPr>
            <w:rStyle w:val="af3"/>
            <w:sz w:val="28"/>
            <w:szCs w:val="28"/>
            <w:lang w:val="en-US"/>
          </w:rPr>
          <w:t>http</w:t>
        </w:r>
        <w:r w:rsidRPr="003E0F1D">
          <w:rPr>
            <w:rStyle w:val="af3"/>
            <w:sz w:val="28"/>
            <w:szCs w:val="28"/>
          </w:rPr>
          <w:t>://</w:t>
        </w:r>
        <w:r w:rsidRPr="003E0F1D">
          <w:rPr>
            <w:rStyle w:val="af3"/>
            <w:sz w:val="28"/>
            <w:szCs w:val="28"/>
            <w:lang w:val="en-US"/>
          </w:rPr>
          <w:t>www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gossluzhba</w:t>
        </w:r>
        <w:r w:rsidRPr="003E0F1D">
          <w:rPr>
            <w:rStyle w:val="af3"/>
            <w:sz w:val="28"/>
            <w:szCs w:val="28"/>
          </w:rPr>
          <w:t>/</w:t>
        </w:r>
        <w:r w:rsidRPr="003E0F1D">
          <w:rPr>
            <w:rStyle w:val="af3"/>
            <w:sz w:val="28"/>
            <w:szCs w:val="28"/>
            <w:lang w:val="en-US"/>
          </w:rPr>
          <w:t>gov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lastRenderedPageBreak/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FD569A">
        <w:rPr>
          <w:rFonts w:ascii="Times New Roman" w:hAnsi="Times New Roman" w:cs="Times New Roman"/>
          <w:sz w:val="28"/>
          <w:szCs w:val="28"/>
        </w:rPr>
        <w:t>29 января по 18 февраля 2021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578">
        <w:rPr>
          <w:rStyle w:val="aa"/>
          <w:rFonts w:ascii="Times New Roman" w:hAnsi="Times New Roman" w:cs="Times New Roman"/>
          <w:b w:val="0"/>
          <w:sz w:val="28"/>
          <w:szCs w:val="28"/>
        </w:rPr>
        <w:t>05</w:t>
      </w:r>
      <w:r w:rsidR="00FD56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марта 2021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572578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 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="00EE063B"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="00EE063B"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 xml:space="preserve">М.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главная группа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810B76" w:rsidRPr="00CE3CE4" w:rsidRDefault="00810B76" w:rsidP="00810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03179" w:rsidRPr="00992EC2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реализации основных задач в сфере туризма и приоритетных направлений развития туризма в Республике Татарстан;</w:t>
      </w:r>
    </w:p>
    <w:p w:rsidR="00803179" w:rsidRPr="00992EC2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разработке и реализации документов стратегического планирования в сфере туризма по вопросам, отнесенным к полномочиям Республики Татарстан;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реализации государственной политики в сфере туризма;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реализует мероприятия, направленные на создание благоприятных условий для развития туристской индустрии в Республике Татарстан;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реализацию мер по созданию системы навигации и ориентирования в сфере туризма на территории Республики Татарстан;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реализацию мер по поддержке приоритетных направлений развития туризма в Республике Татарстан, в том числе социального туризма, детского туризма и самодеятельного туризма;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реализацию комплекса мер по организации экскурсий и путешествий с культурно-познавательными целями для обучающихся в общеобразовательных организациях;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мероприятия в сфере туризма на региональном и межмуниципальном уровне;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информационном обеспечении туризма, создании в Республике Татарстан туристских информационных центров и обеспечении их функционирования;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разработке проектов программ экономического и социального развития Республики Татарстан в части развития и поддержки сферы туризма и туристской индустрии на территории Республики Татарстан;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методическую поддержку и содействие органам местного самоуправления в разработке и реализации мер по развитию туризма на территориях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Республики Татарстан;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анализ финансовых, экономических, социальных и иных показателей развития сферы туризма и эффективности применения мер по ее развитию, готовит прогноз развития сферы туризма в Республике Татарстан;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оказанию государственной поддержки организациям, осуществляющим деятельность социальной значимости в сфере туризма;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формированию информационной системы поддержки сферы туризма, обеспечивающей получение экономической, статистической, правовой и иной информации организациями в сфере туризма и туристской индустрии;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содействие развитию межрегионального и международного сотрудничества организаций сферы туризма и туристской индустрии, а также деятельности общественных объединений, выражающих интересы сферы туризма и туристской индустрии;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55">
        <w:rPr>
          <w:rFonts w:ascii="Times New Roman" w:hAnsi="Times New Roman" w:cs="Times New Roman"/>
          <w:sz w:val="28"/>
          <w:szCs w:val="28"/>
        </w:rPr>
        <w:t>организует проведение и 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комплекс мер по созданию в Республике Татарстан комфортных условий для пребывания туристов;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методическую поддержку и содействие в повышении квалификации кадров в сфере туристкой индустрии;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взаимодействие с предприятиями гостиничного типа по продвижению туристских возможностей и повышению качества услуг объектов, с экскурсоводами – по повышению их квалификации;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мероприятия по повышению лояльности жителей Республики Татарстан к туристам и сфере туризма.</w:t>
      </w:r>
    </w:p>
    <w:p w:rsidR="00ED72F9" w:rsidRPr="00572578" w:rsidRDefault="00ED72F9" w:rsidP="00803179">
      <w:pPr>
        <w:pStyle w:val="ConsPlusNonformat"/>
        <w:tabs>
          <w:tab w:val="left" w:pos="1134"/>
        </w:tabs>
        <w:adjustRightInd/>
        <w:spacing w:line="254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:rsidR="00810B76" w:rsidRPr="00667E7F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810B76" w:rsidRDefault="00810B76" w:rsidP="00810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принимает участие в подготовке проектов нормативных правовых актов, организационно-распорядительных и иных документов по вопросам, относящимся к компетенции отдела;</w:t>
      </w:r>
    </w:p>
    <w:p w:rsidR="00810B7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требовать от подчиненных государственных гражданских служащих и работников соблюдения правил техники безопасности, пожарной безопасности, экономного расходования электроэнергии, воды, тепла и бережного отношения к имуществу;</w:t>
      </w:r>
    </w:p>
    <w:p w:rsidR="00863F0E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участвовать в проводимых конференциях, совещаниях, семинарах и других мероприятиях по вопросам, входящим в его ко</w:t>
      </w:r>
      <w:r w:rsidR="00863F0E">
        <w:rPr>
          <w:rFonts w:ascii="Times New Roman" w:hAnsi="Times New Roman"/>
          <w:sz w:val="28"/>
          <w:szCs w:val="28"/>
        </w:rPr>
        <w:t>мпетенцию;</w:t>
      </w:r>
    </w:p>
    <w:p w:rsidR="00863F0E" w:rsidRDefault="00863F0E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представлять интересы Госкомитета в сторонних организациях при выполнении служебных обязанностей.</w:t>
      </w:r>
    </w:p>
    <w:p w:rsidR="00810B7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</w:t>
      </w:r>
      <w:bookmarkStart w:id="0" w:name="_GoBack"/>
      <w:bookmarkEnd w:id="0"/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тветственность:</w:t>
      </w:r>
    </w:p>
    <w:p w:rsidR="00810B76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</w:t>
      </w:r>
      <w:r>
        <w:rPr>
          <w:rFonts w:ascii="Times New Roman" w:hAnsi="Times New Roman" w:cs="Times New Roman"/>
          <w:sz w:val="28"/>
          <w:szCs w:val="28"/>
        </w:rPr>
        <w:t>заместителя председателя, курирующего деятельность отдела, несвоевременное рассмотрение писем и обращений граждан, учреждений и иных организаций, государственных органов и органов местного самоуправления</w:t>
      </w:r>
      <w:r w:rsidRPr="00176C26">
        <w:rPr>
          <w:rFonts w:ascii="Times New Roman" w:hAnsi="Times New Roman" w:cs="Times New Roman"/>
          <w:sz w:val="28"/>
          <w:szCs w:val="28"/>
        </w:rPr>
        <w:t>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10B76" w:rsidRPr="00176C26" w:rsidRDefault="00810B76" w:rsidP="00863F0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10B76" w:rsidRPr="00176C2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2D0F02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10B76" w:rsidRDefault="00810B76" w:rsidP="00810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76" w:rsidRDefault="00810B76" w:rsidP="00863F0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810B76" w:rsidSect="00ED72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F87" w:rsidRDefault="00C45F87" w:rsidP="007138B3">
      <w:pPr>
        <w:spacing w:after="0" w:line="240" w:lineRule="auto"/>
      </w:pPr>
      <w:r>
        <w:separator/>
      </w:r>
    </w:p>
  </w:endnote>
  <w:endnote w:type="continuationSeparator" w:id="0">
    <w:p w:rsidR="00C45F87" w:rsidRDefault="00C45F87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F87" w:rsidRDefault="00C45F87" w:rsidP="007138B3">
      <w:pPr>
        <w:spacing w:after="0" w:line="240" w:lineRule="auto"/>
      </w:pPr>
      <w:r>
        <w:separator/>
      </w:r>
    </w:p>
  </w:footnote>
  <w:footnote w:type="continuationSeparator" w:id="0">
    <w:p w:rsidR="00C45F87" w:rsidRDefault="00C45F87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C558A"/>
    <w:multiLevelType w:val="hybridMultilevel"/>
    <w:tmpl w:val="5902035C"/>
    <w:lvl w:ilvl="0" w:tplc="0DD2A1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4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11"/>
  </w:num>
  <w:num w:numId="10">
    <w:abstractNumId w:val="24"/>
  </w:num>
  <w:num w:numId="11">
    <w:abstractNumId w:val="17"/>
  </w:num>
  <w:num w:numId="12">
    <w:abstractNumId w:val="3"/>
  </w:num>
  <w:num w:numId="13">
    <w:abstractNumId w:val="0"/>
  </w:num>
  <w:num w:numId="14">
    <w:abstractNumId w:val="23"/>
  </w:num>
  <w:num w:numId="15">
    <w:abstractNumId w:val="12"/>
  </w:num>
  <w:num w:numId="16">
    <w:abstractNumId w:val="7"/>
  </w:num>
  <w:num w:numId="17">
    <w:abstractNumId w:val="16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6"/>
  </w:num>
  <w:num w:numId="23">
    <w:abstractNumId w:val="9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E5104"/>
    <w:rsid w:val="001F3541"/>
    <w:rsid w:val="002021D2"/>
    <w:rsid w:val="002030AB"/>
    <w:rsid w:val="00212D8E"/>
    <w:rsid w:val="002141CA"/>
    <w:rsid w:val="002154AE"/>
    <w:rsid w:val="002225A6"/>
    <w:rsid w:val="00224989"/>
    <w:rsid w:val="00243544"/>
    <w:rsid w:val="0024748D"/>
    <w:rsid w:val="00250FEE"/>
    <w:rsid w:val="0025131B"/>
    <w:rsid w:val="00263A82"/>
    <w:rsid w:val="00271B3A"/>
    <w:rsid w:val="00273A94"/>
    <w:rsid w:val="00273CB7"/>
    <w:rsid w:val="00274530"/>
    <w:rsid w:val="00276D06"/>
    <w:rsid w:val="00285677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6596"/>
    <w:rsid w:val="003D6347"/>
    <w:rsid w:val="003E6955"/>
    <w:rsid w:val="003F4B41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5119E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72578"/>
    <w:rsid w:val="00580C67"/>
    <w:rsid w:val="00585A54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3C8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3179"/>
    <w:rsid w:val="00804293"/>
    <w:rsid w:val="008052EC"/>
    <w:rsid w:val="00810B76"/>
    <w:rsid w:val="008279F7"/>
    <w:rsid w:val="00831190"/>
    <w:rsid w:val="0083312A"/>
    <w:rsid w:val="008333BC"/>
    <w:rsid w:val="00863BDE"/>
    <w:rsid w:val="00863F0E"/>
    <w:rsid w:val="008641F4"/>
    <w:rsid w:val="00864EDC"/>
    <w:rsid w:val="008666B5"/>
    <w:rsid w:val="0087430F"/>
    <w:rsid w:val="00876C89"/>
    <w:rsid w:val="00877790"/>
    <w:rsid w:val="00884F01"/>
    <w:rsid w:val="008A032D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F298E"/>
    <w:rsid w:val="008F424A"/>
    <w:rsid w:val="008F5C7D"/>
    <w:rsid w:val="008F6E09"/>
    <w:rsid w:val="008F7633"/>
    <w:rsid w:val="00905FC1"/>
    <w:rsid w:val="00911FF2"/>
    <w:rsid w:val="00917F9D"/>
    <w:rsid w:val="00920D5B"/>
    <w:rsid w:val="00944850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90989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45F87"/>
    <w:rsid w:val="00C529B3"/>
    <w:rsid w:val="00C55180"/>
    <w:rsid w:val="00C754A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31D14"/>
    <w:rsid w:val="00E419E7"/>
    <w:rsid w:val="00E44149"/>
    <w:rsid w:val="00E47F28"/>
    <w:rsid w:val="00E542CF"/>
    <w:rsid w:val="00E63114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D72F9"/>
    <w:rsid w:val="00ED7564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57D5"/>
    <w:rsid w:val="00F911CC"/>
    <w:rsid w:val="00F979C8"/>
    <w:rsid w:val="00FB22D1"/>
    <w:rsid w:val="00FB669A"/>
    <w:rsid w:val="00FB7BC6"/>
    <w:rsid w:val="00FC1356"/>
    <w:rsid w:val="00FC7F1C"/>
    <w:rsid w:val="00FD569A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D2D8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B300-6F5C-491A-AB2B-F54B7BC9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6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81</cp:revision>
  <cp:lastPrinted>2019-09-09T12:28:00Z</cp:lastPrinted>
  <dcterms:created xsi:type="dcterms:W3CDTF">2015-03-11T12:46:00Z</dcterms:created>
  <dcterms:modified xsi:type="dcterms:W3CDTF">2021-01-29T08:04:00Z</dcterms:modified>
</cp:coreProperties>
</file>